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40A0">
      <w:pPr>
        <w:pStyle w:val="1"/>
      </w:pPr>
      <w:bookmarkStart w:id="0" w:name="_GoBack"/>
      <w:bookmarkEnd w:id="0"/>
      <w:r>
        <w:t>Закон Саратовской области от 3 декабря 2009 г. N 203-ЗСО</w:t>
      </w:r>
      <w:r>
        <w:br/>
        <w:t xml:space="preserve">"Об определении объема субвенций из областного бюджета </w:t>
      </w:r>
      <w:r>
        <w:br/>
        <w:t>на финансовое обеспечение образовательной деятельности</w:t>
      </w:r>
      <w:r>
        <w:br/>
        <w:t>муниципальных общеобразовательных учреждений</w:t>
      </w:r>
      <w:r>
        <w:br/>
        <w:t xml:space="preserve"> и </w:t>
      </w:r>
      <w:r>
        <w:t>о порядке определения нормативов финансового</w:t>
      </w:r>
      <w:r>
        <w:br/>
        <w:t xml:space="preserve"> обеспечения образовательной деятельности муниципальных </w:t>
      </w:r>
      <w:r>
        <w:br/>
        <w:t>общеобразовательных учреждений"</w:t>
      </w:r>
    </w:p>
    <w:p w:rsidR="00000000" w:rsidRDefault="00F140A0">
      <w:pPr>
        <w:pStyle w:val="a8"/>
      </w:pPr>
      <w:r>
        <w:t>С изменениями и дополнениями от:</w:t>
      </w:r>
    </w:p>
    <w:p w:rsidR="00000000" w:rsidRDefault="00F140A0">
      <w:pPr>
        <w:pStyle w:val="a6"/>
      </w:pPr>
      <w:r>
        <w:t>29 июля, 26 октября 2010 г., 6 июля, 28 октября, 12, 28 декабря 2011 г., 25 сентября, 6 декабря 2012 г., 24 сентября, 25, 28 ноября 2013 г., 3 марта, 25 сентября, 3 декабря 2014 г., 29 октября 2015 г., 1 февраля 2016 г.</w:t>
      </w:r>
    </w:p>
    <w:p w:rsidR="00000000" w:rsidRDefault="00F140A0"/>
    <w:p w:rsidR="00000000" w:rsidRDefault="00F140A0">
      <w:r>
        <w:rPr>
          <w:rStyle w:val="a3"/>
        </w:rPr>
        <w:t xml:space="preserve">Принят Саратовской областной Думой </w:t>
      </w:r>
      <w:r>
        <w:rPr>
          <w:rStyle w:val="a3"/>
        </w:rPr>
        <w:t>25 ноября 2009 года</w:t>
      </w:r>
    </w:p>
    <w:p w:rsidR="00000000" w:rsidRDefault="00F140A0"/>
    <w:p w:rsidR="00000000" w:rsidRDefault="00F140A0">
      <w:bookmarkStart w:id="1" w:name="sub_99"/>
      <w:r>
        <w:t>Настоящий Закон определяет объем субвенций из областного бюджета на финансовое обеспечение образовательной деятельности муниципальных общеобразовательных учреждений и порядок определения нормативов финансового обеспечения образов</w:t>
      </w:r>
      <w:r>
        <w:t>ательной деятельности муниципальных общеобразовательных учреждений в целях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</w:t>
      </w:r>
      <w:r>
        <w:t>полнительного образования в муниципальных общеобразовательных учреждениях на территории Саратовской области.</w:t>
      </w:r>
    </w:p>
    <w:bookmarkEnd w:id="1"/>
    <w:p w:rsidR="00000000" w:rsidRDefault="00F140A0"/>
    <w:p w:rsidR="00000000" w:rsidRDefault="00F140A0">
      <w:bookmarkStart w:id="2" w:name="sub_1"/>
      <w:r>
        <w:rPr>
          <w:rStyle w:val="a3"/>
        </w:rPr>
        <w:t>Статья 1.</w:t>
      </w:r>
      <w:r>
        <w:t xml:space="preserve"> Порядок определения объема субвенций из областного бюджета на финансовое обеспечение образовательной деятельности муниципальн</w:t>
      </w:r>
      <w:r>
        <w:t>ых общеобразовательных учреждений и определения нормативов финансового обеспечения образовательной деятельности муниципальных общеобразовательных учреждений</w:t>
      </w:r>
    </w:p>
    <w:p w:rsidR="00000000" w:rsidRDefault="00F140A0">
      <w:bookmarkStart w:id="3" w:name="sub_11"/>
      <w:bookmarkEnd w:id="2"/>
      <w:r>
        <w:t>1. Нормативы финансового обеспечения образовательной деятельности муниципальных общеобра</w:t>
      </w:r>
      <w:r>
        <w:t>зовательных учреждений в части расходов на реализацию основных общеобразовательных программ (далее - нормативы финансового обеспечения образовательной деятельности) определяются в расчете на одного обучающегося (воспитанника), а в общеобразовательных учреж</w:t>
      </w:r>
      <w:r>
        <w:t xml:space="preserve">дениях при исправительно-трудовых учреждениях, воспитательно-трудовых и лечебно-профильных профилакториях МВД - в расчете на класс в соответствии с </w:t>
      </w:r>
      <w:hyperlink w:anchor="sub_1000" w:history="1">
        <w:r>
          <w:rPr>
            <w:rStyle w:val="a4"/>
          </w:rPr>
          <w:t>приложением</w:t>
        </w:r>
      </w:hyperlink>
      <w:r>
        <w:t xml:space="preserve"> к настоящему Закону.</w:t>
      </w:r>
    </w:p>
    <w:p w:rsidR="00000000" w:rsidRDefault="00F140A0">
      <w:bookmarkStart w:id="4" w:name="sub_12"/>
      <w:bookmarkEnd w:id="3"/>
      <w:r>
        <w:t>2. В нормативы финансового обеспечени</w:t>
      </w:r>
      <w:r>
        <w:t>я образовательной деятельности включаются текущие расходы на оплату труда, приобретение учебников и учебных пособий, средств обучения, игр, игрушек.</w:t>
      </w:r>
    </w:p>
    <w:p w:rsidR="00000000" w:rsidRDefault="00F140A0">
      <w:bookmarkStart w:id="5" w:name="sub_13"/>
      <w:bookmarkEnd w:id="4"/>
      <w:r>
        <w:t>3. В нормативы финансового обеспечения образовательной деятельности не включаются расходы на со</w:t>
      </w:r>
      <w:r>
        <w:t>держание зданий и оплата коммунальных расходов.</w:t>
      </w:r>
    </w:p>
    <w:p w:rsidR="00000000" w:rsidRDefault="00F140A0">
      <w:bookmarkStart w:id="6" w:name="sub_14"/>
      <w:bookmarkEnd w:id="5"/>
      <w:r>
        <w:t xml:space="preserve">4. Нормативы финансового обеспечения образовательной деятельности, определенные в соответствии с установленным настоящим Законом порядком, утверждаются </w:t>
      </w:r>
      <w:hyperlink r:id="rId5" w:history="1">
        <w:r>
          <w:rPr>
            <w:rStyle w:val="a4"/>
          </w:rPr>
          <w:t>законом</w:t>
        </w:r>
      </w:hyperlink>
      <w:r>
        <w:t xml:space="preserve"> о</w:t>
      </w:r>
      <w:r>
        <w:t>бласти.</w:t>
      </w:r>
    </w:p>
    <w:p w:rsidR="00000000" w:rsidRDefault="00F140A0">
      <w:bookmarkStart w:id="7" w:name="sub_15"/>
      <w:bookmarkEnd w:id="6"/>
      <w:r>
        <w:lastRenderedPageBreak/>
        <w:t xml:space="preserve">5. Объем субвенций из областного бюджета на финансовое обеспечение образовательной деятельности муниципальных общеобразовательных учреждений (далее - субвенции), определяемый в соответствии с </w:t>
      </w:r>
      <w:hyperlink w:anchor="sub_1000" w:history="1">
        <w:r>
          <w:rPr>
            <w:rStyle w:val="a4"/>
          </w:rPr>
          <w:t>приложением</w:t>
        </w:r>
      </w:hyperlink>
      <w:r>
        <w:t xml:space="preserve"> к наст</w:t>
      </w:r>
      <w:r>
        <w:t>оящему Закону, ежегодно утверждается законом области об областном бюджете на очередной финансовый год по каждому муниципальному району и городскому округу области.</w:t>
      </w:r>
    </w:p>
    <w:p w:rsidR="00000000" w:rsidRDefault="00F140A0">
      <w:bookmarkStart w:id="8" w:name="sub_16"/>
      <w:bookmarkEnd w:id="7"/>
      <w:r>
        <w:t xml:space="preserve">6. Для расчета объема субвенций используется показатель численности обучающихся </w:t>
      </w:r>
      <w:r>
        <w:t>(воспитанников), рассчитанный по результатам предварительного комплектования классов (классов-комплектов, групп) на очередной учебный год с последующим уточнением численности обучающихся на основании статистической отчетности на 1 сентября текущего года.</w:t>
      </w:r>
    </w:p>
    <w:p w:rsidR="00000000" w:rsidRDefault="00F140A0">
      <w:bookmarkStart w:id="9" w:name="sub_17"/>
      <w:bookmarkEnd w:id="8"/>
      <w:r>
        <w:t xml:space="preserve">7. Органы местного самоуправления муниципальных районов и городских округов области распределяют средства, полученные в виде субвенций, между общеобразовательными учреждениями в соответствии с нормативами финансового обеспечения образовательной </w:t>
      </w:r>
      <w:r>
        <w:t>деятельности, утвержденными законом области.</w:t>
      </w:r>
    </w:p>
    <w:p w:rsidR="00000000" w:rsidRDefault="00F140A0">
      <w:bookmarkStart w:id="10" w:name="sub_18"/>
      <w:bookmarkEnd w:id="9"/>
      <w:r>
        <w:t>8. Малокомплектными сельскими и приравненными к ним общеобразовательными учреждениями, филиалами общеобразовательных учреждений считаются образовательные учреждения начального общего, основного общег</w:t>
      </w:r>
      <w:r>
        <w:t>о, среднего общего образования, филиалы общеобразовательных учреждений:</w:t>
      </w:r>
    </w:p>
    <w:bookmarkEnd w:id="10"/>
    <w:p w:rsidR="00000000" w:rsidRDefault="00F140A0">
      <w:r>
        <w:t>без параллельных классов с общим числом обучающихся:</w:t>
      </w:r>
    </w:p>
    <w:p w:rsidR="00000000" w:rsidRDefault="00F140A0">
      <w:r>
        <w:t>до 50 человек в общеобразовательных учреждениях начального общего образования, филиалах общеобразовательных учреждений;</w:t>
      </w:r>
    </w:p>
    <w:p w:rsidR="00000000" w:rsidRDefault="00F140A0">
      <w:r>
        <w:t>до 98</w:t>
      </w:r>
      <w:r>
        <w:t xml:space="preserve"> человек в общеобразовательных учреждениях основного общего образования, филиалах общеобразовательных учреждений;</w:t>
      </w:r>
    </w:p>
    <w:p w:rsidR="00000000" w:rsidRDefault="00F140A0">
      <w:bookmarkStart w:id="11" w:name="sub_1805"/>
      <w:r>
        <w:t>до 120 человек в общеобразовательных учреждениях среднего общего образования, филиалах общеобразовательных учреждений.</w:t>
      </w:r>
    </w:p>
    <w:bookmarkEnd w:id="11"/>
    <w:p w:rsidR="00000000" w:rsidRDefault="00F140A0"/>
    <w:p w:rsidR="00000000" w:rsidRDefault="00F140A0">
      <w:bookmarkStart w:id="12" w:name="sub_2"/>
      <w:r>
        <w:rPr>
          <w:rStyle w:val="a3"/>
        </w:rPr>
        <w:t>С</w:t>
      </w:r>
      <w:r>
        <w:rPr>
          <w:rStyle w:val="a3"/>
        </w:rPr>
        <w:t>татья 2.</w:t>
      </w:r>
      <w:r>
        <w:t xml:space="preserve"> Вступление в силу настоящего Закона</w:t>
      </w:r>
    </w:p>
    <w:p w:rsidR="00000000" w:rsidRDefault="00F140A0">
      <w:bookmarkStart w:id="13" w:name="sub_21"/>
      <w:bookmarkEnd w:id="12"/>
      <w:r>
        <w:t>1. Настоящий Закон вступает в силу с 1 января 2010 года.</w:t>
      </w:r>
    </w:p>
    <w:p w:rsidR="00000000" w:rsidRDefault="00F140A0">
      <w:bookmarkStart w:id="14" w:name="sub_22"/>
      <w:bookmarkEnd w:id="13"/>
      <w:r>
        <w:t xml:space="preserve">2. Со дня вступления в силу настоящего Закона признать утратившей силу </w:t>
      </w:r>
      <w:hyperlink r:id="rId6" w:history="1">
        <w:r>
          <w:rPr>
            <w:rStyle w:val="a4"/>
          </w:rPr>
          <w:t>статью 1</w:t>
        </w:r>
      </w:hyperlink>
      <w:r>
        <w:t xml:space="preserve"> Закона Саратовск</w:t>
      </w:r>
      <w:r>
        <w:t>ой области от 24 декабря 2008 года N 349-ЗСО "Об определении объема субвенций из областного бюджета на финансирование муниципальных общеобразовательных учреждений в части расходов на реализацию общеобразовательных программ и о порядке определения нормативо</w:t>
      </w:r>
      <w:r>
        <w:t>в финансирования муниципальных общеобразовательных учреждений".</w:t>
      </w:r>
    </w:p>
    <w:bookmarkEnd w:id="14"/>
    <w:p w:rsidR="00000000" w:rsidRDefault="00F140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0A0" w:rsidRDefault="00F140A0">
            <w:pPr>
              <w:pStyle w:val="a9"/>
            </w:pPr>
            <w:r w:rsidRPr="00F140A0">
              <w:t>Губернатор Саратовской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0A0" w:rsidRDefault="00F140A0">
            <w:pPr>
              <w:pStyle w:val="a7"/>
              <w:jc w:val="right"/>
            </w:pPr>
            <w:r w:rsidRPr="00F140A0">
              <w:t>П.Л.Ипатов</w:t>
            </w:r>
          </w:p>
        </w:tc>
      </w:tr>
    </w:tbl>
    <w:p w:rsidR="00000000" w:rsidRDefault="00F140A0"/>
    <w:p w:rsidR="00000000" w:rsidRDefault="00F140A0">
      <w:pPr>
        <w:ind w:firstLine="698"/>
        <w:jc w:val="right"/>
      </w:pPr>
      <w:bookmarkStart w:id="1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r:id="rId7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 "Об определении</w:t>
      </w:r>
      <w:r>
        <w:rPr>
          <w:rStyle w:val="a3"/>
        </w:rPr>
        <w:br/>
        <w:t>объема субвенций и</w:t>
      </w:r>
      <w:r>
        <w:rPr>
          <w:rStyle w:val="a3"/>
        </w:rPr>
        <w:t>з областного бюджета на финансовое</w:t>
      </w:r>
      <w:r>
        <w:rPr>
          <w:rStyle w:val="a3"/>
        </w:rPr>
        <w:br/>
        <w:t>обеспечение образовательной деятельности муниципальных</w:t>
      </w:r>
      <w:r>
        <w:rPr>
          <w:rStyle w:val="a3"/>
        </w:rPr>
        <w:br/>
        <w:t>общеобразовательных учреждений и о</w:t>
      </w:r>
      <w:r>
        <w:rPr>
          <w:rStyle w:val="a3"/>
        </w:rPr>
        <w:br/>
        <w:t>порядке определения нормативов финансового обеспечения</w:t>
      </w:r>
      <w:r>
        <w:rPr>
          <w:rStyle w:val="a3"/>
        </w:rPr>
        <w:br/>
        <w:t>образовательной деятельности муниципальных</w:t>
      </w:r>
      <w:r>
        <w:rPr>
          <w:rStyle w:val="a3"/>
        </w:rPr>
        <w:br/>
        <w:t xml:space="preserve"> общеобразовательных учреждений"</w:t>
      </w:r>
    </w:p>
    <w:bookmarkEnd w:id="15"/>
    <w:p w:rsidR="00000000" w:rsidRDefault="00F140A0"/>
    <w:p w:rsidR="00000000" w:rsidRDefault="00F140A0">
      <w:pPr>
        <w:pStyle w:val="1"/>
      </w:pPr>
      <w:r>
        <w:t>Порядок</w:t>
      </w:r>
      <w:r>
        <w:br/>
        <w:t>определения объема субвенций из областного бюджета на финансовое обеспечение образовательной деятельности муниципальных общеобразовательных учреждений и порядок определения нормативов финансового обеспечения образовательной деятельности му</w:t>
      </w:r>
      <w:r>
        <w:t>ниципальных общеобразовательных учреждений</w:t>
      </w:r>
    </w:p>
    <w:p w:rsidR="00000000" w:rsidRDefault="00F140A0">
      <w:pPr>
        <w:pStyle w:val="a8"/>
      </w:pPr>
      <w:r>
        <w:t>С изменениями и дополнениями от:</w:t>
      </w:r>
    </w:p>
    <w:p w:rsidR="00000000" w:rsidRDefault="00F140A0">
      <w:pPr>
        <w:pStyle w:val="a6"/>
      </w:pPr>
      <w:r>
        <w:t>29 июля, 26 октября 2010 г., 6 июля, 28 октября, 12, 28 декабря 2011 г., 25 сентября, 6 декабря 2012 г., 24 сентября, 25, 28 ноября 2013 г., 3 марта, 25 сентября, 3 декабря 2014 г.</w:t>
      </w:r>
      <w:r>
        <w:t>, 29 октября 2015 г., 1 февраля 2016 г.</w:t>
      </w:r>
    </w:p>
    <w:p w:rsidR="00000000" w:rsidRDefault="00F140A0"/>
    <w:p w:rsidR="00000000" w:rsidRDefault="00F140A0">
      <w:bookmarkStart w:id="16" w:name="sub_1001"/>
      <w:r>
        <w:t>1) Объем субвенций из областного бюджета каждому муниципальному району и городскому округу (далее - муниципальное образование) на финансовое обеспечение образовательной деятельности в муниципальных общеобраз</w:t>
      </w:r>
      <w:r>
        <w:t>овательных учреждениях рассчитывается исходя из стоимости образовательной услуги дошкольного образования для трех ступеней образования (начального общего, основного общего, среднего общего) и с учетом коэффициентов удорожания при обучении в следующих видах</w:t>
      </w:r>
      <w:r>
        <w:t xml:space="preserve"> классов: гимназических (лицейских) классах, специальных (коррекционных) классах и классах компенсирующего обучения - по формуле:</w:t>
      </w:r>
    </w:p>
    <w:bookmarkEnd w:id="16"/>
    <w:p w:rsidR="00000000" w:rsidRDefault="00F140A0"/>
    <w:p w:rsidR="00000000" w:rsidRDefault="00F140A0">
      <w:pPr>
        <w:ind w:firstLine="698"/>
        <w:jc w:val="center"/>
      </w:pPr>
      <w:bookmarkStart w:id="17" w:name="sub_1001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14pt">
            <v:imagedata r:id="rId8" o:title=""/>
          </v:shape>
        </w:pict>
      </w:r>
    </w:p>
    <w:bookmarkEnd w:id="17"/>
    <w:p w:rsidR="00000000" w:rsidRDefault="00F140A0"/>
    <w:p w:rsidR="00000000" w:rsidRDefault="00F140A0">
      <w:pPr>
        <w:ind w:firstLine="698"/>
        <w:jc w:val="center"/>
      </w:pPr>
      <w:r>
        <w:pict>
          <v:shape id="_x0000_i1026" type="#_x0000_t75" style="width:284.25pt;height:48.75pt">
            <v:imagedata r:id="rId9" o:title=""/>
          </v:shape>
        </w:pict>
      </w:r>
      <w:r>
        <w:t>, где</w:t>
      </w:r>
    </w:p>
    <w:p w:rsidR="00000000" w:rsidRDefault="00F140A0"/>
    <w:p w:rsidR="00000000" w:rsidRDefault="00F140A0">
      <w:bookmarkStart w:id="18" w:name="sub_10013"/>
      <w:r>
        <w:pict>
          <v:shape id="_x0000_i1027" type="#_x0000_t75" style="width:10.5pt;height:16.5pt">
            <v:imagedata r:id="rId10" o:title=""/>
          </v:shape>
        </w:pict>
      </w:r>
      <w:r>
        <w:t xml:space="preserve"> - объем субвенции для бюджета </w:t>
      </w:r>
      <w:r>
        <w:pict>
          <v:shape id="_x0000_i1028" type="#_x0000_t75" style="width:6pt;height:15pt">
            <v:imagedata r:id="rId11" o:title=""/>
          </v:shape>
        </w:pict>
      </w:r>
      <w:r>
        <w:t>-го муниципального образования на финансовое обеспечение образовательной деятельности в муниципальных общеобразовательных учреждениях;</w:t>
      </w:r>
    </w:p>
    <w:bookmarkEnd w:id="18"/>
    <w:p w:rsidR="00000000" w:rsidRDefault="00F140A0">
      <w:r>
        <w:pict>
          <v:shape id="_x0000_i1029" type="#_x0000_t75" style="width:9.75pt;height:15pt">
            <v:imagedata r:id="rId12" o:title=""/>
          </v:shape>
        </w:pict>
      </w:r>
      <w:r>
        <w:t xml:space="preserve"> - сумма расходов;</w:t>
      </w:r>
    </w:p>
    <w:p w:rsidR="00000000" w:rsidRDefault="00F140A0">
      <w:r>
        <w:pict>
          <v:shape id="_x0000_i1030" type="#_x0000_t75" style="width:48.75pt;height:15pt">
            <v:imagedata r:id="rId13" o:title=""/>
          </v:shape>
        </w:pict>
      </w:r>
      <w:r>
        <w:t xml:space="preserve"> - территориальная принадлежность образовательных учреждений (</w:t>
      </w:r>
      <w:r>
        <w:pict>
          <v:shape id="_x0000_i1031" type="#_x0000_t75" style="width:9pt;height:15pt">
            <v:imagedata r:id="rId14" o:title=""/>
          </v:shape>
        </w:pict>
      </w:r>
      <w:r>
        <w:t xml:space="preserve"> - городской населенный пункт, </w:t>
      </w:r>
      <w:r>
        <w:pict>
          <v:shape id="_x0000_i1032" type="#_x0000_t75" style="width:9pt;height:15pt">
            <v:imagedata r:id="rId15" o:title=""/>
          </v:shape>
        </w:pict>
      </w:r>
      <w:r>
        <w:t xml:space="preserve"> - сельский населенный </w:t>
      </w:r>
      <w:r>
        <w:t xml:space="preserve">пункт, </w:t>
      </w:r>
      <w:r>
        <w:pict>
          <v:shape id="_x0000_i1033" type="#_x0000_t75" style="width:9pt;height:15pt">
            <v:imagedata r:id="rId16" o:title=""/>
          </v:shape>
        </w:pict>
      </w:r>
      <w:r>
        <w:t xml:space="preserve"> - ЗАТО);</w:t>
      </w:r>
    </w:p>
    <w:p w:rsidR="00000000" w:rsidRDefault="00F140A0">
      <w:bookmarkStart w:id="19" w:name="sub_10016"/>
      <w:r>
        <w:pict>
          <v:shape id="_x0000_i1034" type="#_x0000_t75" style="width:9.75pt;height:16.5pt">
            <v:imagedata r:id="rId17" o:title=""/>
          </v:shape>
        </w:pict>
      </w:r>
      <w:r>
        <w:t xml:space="preserve"> - объем бюджетных средств </w:t>
      </w:r>
      <w:r>
        <w:pict>
          <v:shape id="_x0000_i1035" type="#_x0000_t75" style="width:6pt;height:15pt">
            <v:imagedata r:id="rId18" o:title=""/>
          </v:shape>
        </w:pict>
      </w:r>
      <w:r>
        <w:t>-му муниципальному образова</w:t>
      </w:r>
      <w:r>
        <w:lastRenderedPageBreak/>
        <w:t>нию на финансовое обеспечение предоставления дошкольного образования в</w:t>
      </w:r>
      <w:r>
        <w:t xml:space="preserve"> муниципальных общеобразовательных учреждениях;</w:t>
      </w:r>
    </w:p>
    <w:p w:rsidR="00000000" w:rsidRDefault="00F140A0">
      <w:bookmarkStart w:id="20" w:name="sub_10017"/>
      <w:bookmarkEnd w:id="19"/>
      <w:r>
        <w:pict>
          <v:shape id="_x0000_i1036" type="#_x0000_t75" style="width:9.75pt;height:16.5pt">
            <v:imagedata r:id="rId19" o:title=""/>
          </v:shape>
        </w:pict>
      </w:r>
      <w:r>
        <w:t xml:space="preserve"> - объем нормативных затрат на финансовое обеспечение образовательной деятельности, который определяется по формуле:</w:t>
      </w:r>
    </w:p>
    <w:bookmarkEnd w:id="20"/>
    <w:p w:rsidR="00000000" w:rsidRDefault="00F140A0"/>
    <w:p w:rsidR="00000000" w:rsidRDefault="00F140A0">
      <w:bookmarkStart w:id="21" w:name="sub_10018"/>
      <w:r>
        <w:pict>
          <v:shape id="_x0000_i1037" type="#_x0000_t75" style="width:351pt;height:48.75pt">
            <v:imagedata r:id="rId20" o:title=""/>
          </v:shape>
        </w:pict>
      </w:r>
    </w:p>
    <w:bookmarkEnd w:id="21"/>
    <w:p w:rsidR="00000000" w:rsidRDefault="00F140A0"/>
    <w:p w:rsidR="00000000" w:rsidRDefault="00F140A0">
      <w:r>
        <w:pict>
          <v:shape id="_x0000_i1038" type="#_x0000_t75" style="width:5in;height:48.75pt">
            <v:imagedata r:id="rId21" o:title=""/>
          </v:shape>
        </w:pict>
      </w:r>
    </w:p>
    <w:p w:rsidR="00000000" w:rsidRDefault="00F140A0"/>
    <w:p w:rsidR="00000000" w:rsidRDefault="00F140A0">
      <w:r>
        <w:pict>
          <v:shape id="_x0000_i1039" type="#_x0000_t75" style="width:198pt;height:48.75pt">
            <v:imagedata r:id="rId22" o:title=""/>
          </v:shape>
        </w:pict>
      </w:r>
      <w:r>
        <w:t>, где</w:t>
      </w:r>
    </w:p>
    <w:p w:rsidR="00000000" w:rsidRDefault="00F140A0"/>
    <w:p w:rsidR="00000000" w:rsidRDefault="00F140A0">
      <w:bookmarkStart w:id="22" w:name="sub_10019"/>
      <w:r>
        <w:pict>
          <v:shape id="_x0000_i1040" type="#_x0000_t75" style="width:14.25pt;height:20.25pt">
            <v:imagedata r:id="rId23" o:title=""/>
          </v:shape>
        </w:pict>
      </w:r>
      <w:r>
        <w:t xml:space="preserve"> - нормативы расходов на финансовое обеспечение образовательной деятельности в расчет</w:t>
      </w:r>
      <w:r>
        <w:t>е на одного обучающегося в общеобразовательных классах муниципальных общеобразовательных учреждений;</w:t>
      </w:r>
    </w:p>
    <w:p w:rsidR="00000000" w:rsidRDefault="00F140A0">
      <w:bookmarkStart w:id="23" w:name="sub_100110"/>
      <w:bookmarkEnd w:id="22"/>
      <w:r>
        <w:pict>
          <v:shape id="_x0000_i1041" type="#_x0000_t75" style="width:14.25pt;height:20.25pt">
            <v:imagedata r:id="rId24" o:title=""/>
          </v:shape>
        </w:pict>
      </w:r>
      <w:r>
        <w:t xml:space="preserve"> - нормативы расходов на финансовое обеспечение образовательной деятельности в расчете на одного обучающегося в гимназических (лицейских) классах муниципальных общеобразовательных учреждений;</w:t>
      </w:r>
    </w:p>
    <w:p w:rsidR="00000000" w:rsidRDefault="00F140A0">
      <w:bookmarkStart w:id="24" w:name="sub_100111"/>
      <w:bookmarkEnd w:id="23"/>
      <w:r>
        <w:pict>
          <v:shape id="_x0000_i1042" type="#_x0000_t75" style="width:13.5pt;height:20.25pt">
            <v:imagedata r:id="rId25" o:title=""/>
          </v:shape>
        </w:pict>
      </w:r>
      <w:r>
        <w:t xml:space="preserve"> - нормат</w:t>
      </w:r>
      <w:r>
        <w:t>ивы расходов на финансовое обеспечение образовательной деятельности в расчете на одного обучающегося в специальных (коррекционных) классах муниципальных общеобразовательных учреждений;</w:t>
      </w:r>
    </w:p>
    <w:p w:rsidR="00000000" w:rsidRDefault="00F140A0">
      <w:bookmarkStart w:id="25" w:name="sub_100112"/>
      <w:bookmarkEnd w:id="24"/>
      <w:r>
        <w:pict>
          <v:shape id="_x0000_i1043" type="#_x0000_t75" style="width:24pt;height:20.25pt">
            <v:imagedata r:id="rId26" o:title=""/>
          </v:shape>
        </w:pict>
      </w:r>
      <w:r>
        <w:t xml:space="preserve"> - нормативы ра</w:t>
      </w:r>
      <w:r>
        <w:t>сходов на финансовое обеспечение образовательной деятельности в расчете на одного обучающегося в классах компенсирующего обучения муниципальных общеобразовательных учреждений;</w:t>
      </w:r>
    </w:p>
    <w:p w:rsidR="00000000" w:rsidRDefault="00F140A0">
      <w:bookmarkStart w:id="26" w:name="sub_100114"/>
      <w:bookmarkEnd w:id="25"/>
      <w:r>
        <w:pict>
          <v:shape id="_x0000_i1044" type="#_x0000_t75" style="width:14.25pt;height:20.25pt">
            <v:imagedata r:id="rId27" o:title=""/>
          </v:shape>
        </w:pict>
      </w:r>
      <w:r>
        <w:t xml:space="preserve"> - нормативы расходов на </w:t>
      </w:r>
      <w:r>
        <w:t>финансовое обеспечение образовательной деятельности в расчете на одного обучающегося, находящегося на индивидуальном обучении на дому;</w:t>
      </w:r>
    </w:p>
    <w:p w:rsidR="00000000" w:rsidRDefault="00F140A0">
      <w:bookmarkStart w:id="27" w:name="sub_1001151"/>
      <w:bookmarkEnd w:id="26"/>
      <w:r>
        <w:pict>
          <v:shape id="_x0000_i1045" type="#_x0000_t75" style="width:16.5pt;height:20.25pt">
            <v:imagedata r:id="rId28" o:title=""/>
          </v:shape>
        </w:pict>
      </w:r>
      <w:r>
        <w:t xml:space="preserve"> - нормативы расходов на финансовое обеспечение образовательной д</w:t>
      </w:r>
      <w:r>
        <w:t>еятельности в расчете на одного обучающегося, инфицированного туберкулезом, находящегося на длительном лечении в больнице;</w:t>
      </w:r>
    </w:p>
    <w:p w:rsidR="00000000" w:rsidRDefault="00F140A0">
      <w:bookmarkStart w:id="28" w:name="sub_100115"/>
      <w:bookmarkEnd w:id="27"/>
      <w:r>
        <w:pict>
          <v:shape id="_x0000_i1046" type="#_x0000_t75" style="width:14.25pt;height:20.25pt">
            <v:imagedata r:id="rId29" o:title=""/>
          </v:shape>
        </w:pict>
      </w:r>
      <w:r>
        <w:t xml:space="preserve"> - нормативы расходов на финансовое обеспечение образовательной деятельности </w:t>
      </w:r>
      <w:r>
        <w:t xml:space="preserve">в расчете на одного обучающегося, находящегося на длительном лечении в больнице (за исключением обучающихся, </w:t>
      </w:r>
      <w:r>
        <w:lastRenderedPageBreak/>
        <w:t>инфицированных туберкулезом), центре временного содержания для несовершеннолетних правонарушителей;</w:t>
      </w:r>
    </w:p>
    <w:p w:rsidR="00000000" w:rsidRDefault="00F140A0">
      <w:bookmarkStart w:id="29" w:name="sub_100116"/>
      <w:bookmarkEnd w:id="28"/>
      <w:r>
        <w:pict>
          <v:shape id="_x0000_i1047" type="#_x0000_t75" style="width:20.25pt;height:20.25pt">
            <v:imagedata r:id="rId30" o:title=""/>
          </v:shape>
        </w:pict>
      </w:r>
      <w:r>
        <w:t xml:space="preserve"> - нормативы расходов на финансовое обеспечение образовательной деятельности в расчете на одного обучающегося в классах общеобразовательных учреждений, имеющих статус федеральной экспериментальной площадки или статус участника федерального экспери</w:t>
      </w:r>
      <w:r>
        <w:t>мента в области образования;</w:t>
      </w:r>
    </w:p>
    <w:p w:rsidR="00000000" w:rsidRDefault="00F140A0">
      <w:bookmarkStart w:id="30" w:name="sub_1001171"/>
      <w:bookmarkEnd w:id="29"/>
      <w:r>
        <w:pict>
          <v:shape id="_x0000_i1048" type="#_x0000_t75" style="width:21.75pt;height:20.25pt">
            <v:imagedata r:id="rId31" o:title=""/>
          </v:shape>
        </w:pict>
      </w:r>
      <w:r>
        <w:t xml:space="preserve"> - нормативы расходов на финансовое обеспечение образовательной деятельности в расчете на одного обучающегося в классах кадетских общеобразовательных учреждений;</w:t>
      </w:r>
    </w:p>
    <w:p w:rsidR="00000000" w:rsidRDefault="00F140A0">
      <w:bookmarkStart w:id="31" w:name="sub_100117"/>
      <w:bookmarkEnd w:id="30"/>
      <w:r>
        <w:pict>
          <v:shape id="_x0000_i1049" type="#_x0000_t75" style="width:16.5pt;height:20.25pt">
            <v:imagedata r:id="rId32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обучающихся в общеобразовательных классах (классах-комплектах) общеобразовательных учреждений на территории </w:t>
      </w:r>
      <w:r>
        <w:pict>
          <v:shape id="_x0000_i1050" type="#_x0000_t75" style="width:6pt;height:15pt">
            <v:imagedata r:id="rId33" o:title=""/>
          </v:shape>
        </w:pict>
      </w:r>
      <w:r>
        <w:t>-го муниципального образования. Для малокомплектных сельских и приравненных к ним общеобразовательных учреждений - численность "условных обучающихся", рассчитанная по каждой ступени образования по формуле:</w:t>
      </w:r>
    </w:p>
    <w:bookmarkEnd w:id="31"/>
    <w:p w:rsidR="00000000" w:rsidRDefault="00F140A0"/>
    <w:p w:rsidR="00000000" w:rsidRDefault="00F140A0">
      <w:pPr>
        <w:ind w:firstLine="698"/>
        <w:jc w:val="center"/>
      </w:pPr>
      <w:r>
        <w:pict>
          <v:shape id="_x0000_i1051" type="#_x0000_t75" style="width:60pt;height:36pt">
            <v:imagedata r:id="rId34" o:title=""/>
          </v:shape>
        </w:pict>
      </w:r>
      <w:r>
        <w:t>, где</w:t>
      </w:r>
    </w:p>
    <w:p w:rsidR="00000000" w:rsidRDefault="00F140A0"/>
    <w:p w:rsidR="00000000" w:rsidRDefault="00F140A0">
      <w:r>
        <w:pict>
          <v:shape id="_x0000_i1052" type="#_x0000_t75" style="width:11.25pt;height:15pt">
            <v:imagedata r:id="rId35" o:title=""/>
          </v:shape>
        </w:pict>
      </w:r>
      <w:r>
        <w:t xml:space="preserve"> - численность "условных обучающихся";</w:t>
      </w:r>
    </w:p>
    <w:p w:rsidR="00000000" w:rsidRDefault="00F140A0">
      <w:r>
        <w:pict>
          <v:shape id="_x0000_i1053" type="#_x0000_t75" style="width:16.5pt;height:16.5pt">
            <v:imagedata r:id="rId36" o:title=""/>
          </v:shape>
        </w:pict>
      </w:r>
      <w:r>
        <w:t>. - фактическая численность обучающихся в малокомплектных сельских и приравненных к ним общеобразовательных учреждениях</w:t>
      </w:r>
      <w:r>
        <w:t>;</w:t>
      </w:r>
    </w:p>
    <w:p w:rsidR="00000000" w:rsidRDefault="00F140A0">
      <w:bookmarkStart w:id="32" w:name="sub_100121"/>
      <w:r>
        <w:pict>
          <v:shape id="_x0000_i1054" type="#_x0000_t75" style="width:11.25pt;height:15pt">
            <v:imagedata r:id="rId37" o:title=""/>
          </v:shape>
        </w:pict>
      </w:r>
      <w:r>
        <w:t xml:space="preserve"> - наполняемость классов (классов-комплектов) малокомплектных сельских и приравненных к ним общеобразовательных учреждений для расчета расходов на оплату труда - 12 человек; для расчета расходов на обеспечение</w:t>
      </w:r>
      <w:r>
        <w:t xml:space="preserve"> учебного процесса - семь человек в классе (классе-комплекте) в сельских населенных пунктах, десять человек в классе (классе-комплекте) в городских населенных пунктах;</w:t>
      </w:r>
    </w:p>
    <w:p w:rsidR="00000000" w:rsidRDefault="00F140A0">
      <w:bookmarkStart w:id="33" w:name="sub_100122"/>
      <w:bookmarkEnd w:id="32"/>
      <w:r>
        <w:pict>
          <v:shape id="_x0000_i1055" type="#_x0000_t75" style="width:16.5pt;height:16.5pt">
            <v:imagedata r:id="rId38" o:title=""/>
          </v:shape>
        </w:pict>
      </w:r>
      <w:r>
        <w:t xml:space="preserve"> - фактическая наполняемость клас</w:t>
      </w:r>
      <w:r>
        <w:t>сов (классов-комплектов) малокомплектных сельских и приравненных к ним общеобразовательных учреждений;</w:t>
      </w:r>
    </w:p>
    <w:p w:rsidR="00000000" w:rsidRDefault="00F140A0">
      <w:bookmarkStart w:id="34" w:name="sub_100123"/>
      <w:bookmarkEnd w:id="33"/>
      <w:r>
        <w:pict>
          <v:shape id="_x0000_i1056" type="#_x0000_t75" style="width:16.5pt;height:20.25pt">
            <v:imagedata r:id="rId39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обучающ</w:t>
      </w:r>
      <w:r>
        <w:t xml:space="preserve">ихся в гимназических (лицейских) классах общеобразовательных учреждений на территории </w:t>
      </w:r>
      <w:r>
        <w:pict>
          <v:shape id="_x0000_i1057" type="#_x0000_t75" style="width:6pt;height:15pt">
            <v:imagedata r:id="rId40" o:title=""/>
          </v:shape>
        </w:pict>
      </w:r>
      <w:r>
        <w:t>-го муниципального образования;</w:t>
      </w:r>
    </w:p>
    <w:p w:rsidR="00000000" w:rsidRDefault="00F140A0">
      <w:bookmarkStart w:id="35" w:name="sub_100124"/>
      <w:bookmarkEnd w:id="34"/>
      <w:r>
        <w:pict>
          <v:shape id="_x0000_i1058" type="#_x0000_t75" style="width:15pt;height:20.25pt">
            <v:imagedata r:id="rId41" o:title=""/>
          </v:shape>
        </w:pict>
      </w:r>
      <w:r>
        <w:t xml:space="preserve"> - прогнозируемая* на соответствующий финансовы</w:t>
      </w:r>
      <w:r>
        <w:t xml:space="preserve">й год iго численность обучающихся в специальных (коррекционных) классах общеобразовательных учреждений на территории </w:t>
      </w:r>
      <w:r>
        <w:pict>
          <v:shape id="_x0000_i1059" type="#_x0000_t75" style="width:6pt;height:15pt">
            <v:imagedata r:id="rId42" o:title=""/>
          </v:shape>
        </w:pict>
      </w:r>
      <w:r>
        <w:t>-го муниципального образования;</w:t>
      </w:r>
    </w:p>
    <w:p w:rsidR="00000000" w:rsidRDefault="00F140A0">
      <w:bookmarkStart w:id="36" w:name="sub_100125"/>
      <w:bookmarkEnd w:id="35"/>
      <w:r>
        <w:pict>
          <v:shape id="_x0000_i1060" type="#_x0000_t75" style="width:25.5pt;height:20.25pt">
            <v:imagedata r:id="rId43" o:title=""/>
          </v:shape>
        </w:pict>
      </w:r>
      <w:r>
        <w:t xml:space="preserve"> - прогнозируем</w:t>
      </w:r>
      <w:r>
        <w:t xml:space="preserve">ая* на соответствующий финансовый год </w:t>
      </w:r>
      <w:r>
        <w:lastRenderedPageBreak/>
        <w:t xml:space="preserve">численность обучающихся в классах компенсирующего обучения общеобразовательных учреждений на территории </w:t>
      </w:r>
      <w:r>
        <w:pict>
          <v:shape id="_x0000_i1061" type="#_x0000_t75" style="width:6pt;height:15pt">
            <v:imagedata r:id="rId44" o:title=""/>
          </v:shape>
        </w:pict>
      </w:r>
      <w:r>
        <w:t>-го муниципального образования;</w:t>
      </w:r>
    </w:p>
    <w:p w:rsidR="00000000" w:rsidRDefault="00F140A0">
      <w:bookmarkStart w:id="37" w:name="sub_100126"/>
      <w:bookmarkEnd w:id="36"/>
      <w:r>
        <w:pict>
          <v:shape id="_x0000_i1062" type="#_x0000_t75" style="width:16.5pt;height:20.25pt">
            <v:imagedata r:id="rId45" o:title=""/>
          </v:shape>
        </w:pict>
      </w:r>
      <w:r>
        <w:t xml:space="preserve"> - прогнозируемая* на соответствующий финансовый год численность обучающихся, находящихся на индивидуальном обучении на дому, на территории </w:t>
      </w:r>
      <w:r>
        <w:pict>
          <v:shape id="_x0000_i1063" type="#_x0000_t75" style="width:6pt;height:15pt">
            <v:imagedata r:id="rId46" o:title=""/>
          </v:shape>
        </w:pict>
      </w:r>
      <w:r>
        <w:t>-го муниципального образования;</w:t>
      </w:r>
    </w:p>
    <w:p w:rsidR="00000000" w:rsidRDefault="00F140A0">
      <w:bookmarkStart w:id="38" w:name="sub_1001281"/>
      <w:bookmarkEnd w:id="37"/>
      <w:r>
        <w:pict>
          <v:shape id="_x0000_i1064" type="#_x0000_t75" style="width:16.5pt;height:20.25pt">
            <v:imagedata r:id="rId47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обучающихся, инфицированных туберкулезом, находящихся на длительном лечении в больнице, на территории </w:t>
      </w:r>
      <w:r>
        <w:pict>
          <v:shape id="_x0000_i1065" type="#_x0000_t75" style="width:6pt;height:15pt">
            <v:imagedata r:id="rId48" o:title=""/>
          </v:shape>
        </w:pict>
      </w:r>
      <w:r>
        <w:t>-го муниципального образования;</w:t>
      </w:r>
    </w:p>
    <w:p w:rsidR="00000000" w:rsidRDefault="00F140A0">
      <w:bookmarkStart w:id="39" w:name="sub_100127"/>
      <w:bookmarkEnd w:id="38"/>
      <w:r>
        <w:pict>
          <v:shape id="_x0000_i1066" type="#_x0000_t75" style="width:22.5pt;height:20.25pt">
            <v:imagedata r:id="rId49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обучающихся, находящихся на длительном лечении в больнице (за исключением обучающихся, инфицированных туберкулезом), центре временн</w:t>
      </w:r>
      <w:r>
        <w:t xml:space="preserve">ого содержания для несовершеннолетних правонарушителей, на территории </w:t>
      </w:r>
      <w:r>
        <w:pict>
          <v:shape id="_x0000_i1067" type="#_x0000_t75" style="width:6pt;height:15pt">
            <v:imagedata r:id="rId50" o:title=""/>
          </v:shape>
        </w:pict>
      </w:r>
      <w:r>
        <w:t>-го муниципального образования;</w:t>
      </w:r>
    </w:p>
    <w:p w:rsidR="00000000" w:rsidRDefault="00F140A0">
      <w:bookmarkStart w:id="40" w:name="sub_100128"/>
      <w:bookmarkEnd w:id="39"/>
      <w:r>
        <w:pict>
          <v:shape id="_x0000_i1068" type="#_x0000_t75" style="width:22.5pt;height:20.25pt">
            <v:imagedata r:id="rId51" o:title=""/>
          </v:shape>
        </w:pict>
      </w:r>
      <w:r>
        <w:t xml:space="preserve"> - прогнозируемая* на соответствующий финансовый год численност</w:t>
      </w:r>
      <w:r>
        <w:t>ь обучающихся в классах общеобразовательных учреждений, имеющих статус федеральной экспериментальной площадки или статус участника федерального эксперимента в области образования;</w:t>
      </w:r>
    </w:p>
    <w:p w:rsidR="00000000" w:rsidRDefault="00F140A0">
      <w:bookmarkStart w:id="41" w:name="sub_100129"/>
      <w:bookmarkEnd w:id="40"/>
      <w:r>
        <w:pict>
          <v:shape id="_x0000_i1069" type="#_x0000_t75" style="width:24pt;height:20.25pt">
            <v:imagedata r:id="rId52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обучающихся в классах кадетских общеобразовательных учреждений;</w:t>
      </w:r>
    </w:p>
    <w:p w:rsidR="00000000" w:rsidRDefault="00F140A0">
      <w:bookmarkStart w:id="42" w:name="sub_100130"/>
      <w:bookmarkEnd w:id="41"/>
      <w:r>
        <w:pict>
          <v:shape id="_x0000_i1070" type="#_x0000_t75" style="width:81pt;height:15pt">
            <v:imagedata r:id="rId53" o:title=""/>
          </v:shape>
        </w:pict>
      </w:r>
      <w:r>
        <w:t xml:space="preserve"> - принадлежность образовательных учреждений к населенному пункту п</w:t>
      </w:r>
      <w:r>
        <w:t>о численности обучающихся (</w:t>
      </w:r>
      <w:r>
        <w:pict>
          <v:shape id="_x0000_i1071" type="#_x0000_t75" style="width:9pt;height:15pt">
            <v:imagedata r:id="rId54" o:title=""/>
          </v:shape>
        </w:pict>
      </w:r>
      <w:r>
        <w:t xml:space="preserve"> - до 4000 в городском населенном пункте, </w:t>
      </w:r>
      <w:r>
        <w:pict>
          <v:shape id="_x0000_i1072" type="#_x0000_t75" style="width:9pt;height:15pt">
            <v:imagedata r:id="rId55" o:title=""/>
          </v:shape>
        </w:pict>
      </w:r>
      <w:r>
        <w:t xml:space="preserve"> - от 4000 до 8000 в городском населенном пункте, </w:t>
      </w:r>
      <w:r>
        <w:pict>
          <v:shape id="_x0000_i1073" type="#_x0000_t75" style="width:9pt;height:15pt">
            <v:imagedata r:id="rId56" o:title=""/>
          </v:shape>
        </w:pict>
      </w:r>
      <w:r>
        <w:t xml:space="preserve"> - более 8000 в городском нас</w:t>
      </w:r>
      <w:r>
        <w:t xml:space="preserve">еленном пункте, </w:t>
      </w:r>
      <w:r>
        <w:pict>
          <v:shape id="_x0000_i1074" type="#_x0000_t75" style="width:9pt;height:15pt">
            <v:imagedata r:id="rId57" o:title=""/>
          </v:shape>
        </w:pict>
      </w:r>
      <w:r>
        <w:t xml:space="preserve"> - более 3000 в сельском населенном пункте, </w:t>
      </w:r>
      <w:r>
        <w:pict>
          <v:shape id="_x0000_i1075" type="#_x0000_t75" style="width:9pt;height:15pt">
            <v:imagedata r:id="rId58" o:title=""/>
          </v:shape>
        </w:pict>
      </w:r>
      <w:r>
        <w:t xml:space="preserve"> - до 3000 в сельском населенном пункте);</w:t>
      </w:r>
    </w:p>
    <w:p w:rsidR="00000000" w:rsidRDefault="00F140A0">
      <w:bookmarkStart w:id="43" w:name="sub_100131"/>
      <w:bookmarkEnd w:id="42"/>
      <w:r>
        <w:pict>
          <v:shape id="_x0000_i1076" type="#_x0000_t75" style="width:50.25pt;height:15pt">
            <v:imagedata r:id="rId59" o:title=""/>
          </v:shape>
        </w:pict>
      </w:r>
      <w:r>
        <w:t xml:space="preserve"> - ступени общего образован</w:t>
      </w:r>
      <w:r>
        <w:t>ия (</w:t>
      </w:r>
      <w:r>
        <w:pict>
          <v:shape id="_x0000_i1077" type="#_x0000_t75" style="width:9pt;height:15pt">
            <v:imagedata r:id="rId60" o:title=""/>
          </v:shape>
        </w:pict>
      </w:r>
      <w:r>
        <w:t xml:space="preserve">-я - начального общего, </w:t>
      </w:r>
      <w:r>
        <w:pict>
          <v:shape id="_x0000_i1078" type="#_x0000_t75" style="width:9pt;height:15pt">
            <v:imagedata r:id="rId61" o:title=""/>
          </v:shape>
        </w:pict>
      </w:r>
      <w:r>
        <w:t xml:space="preserve">-я - основного общего, </w:t>
      </w:r>
      <w:r>
        <w:pict>
          <v:shape id="_x0000_i1079" type="#_x0000_t75" style="width:9pt;height:15pt">
            <v:imagedata r:id="rId62" o:title=""/>
          </v:shape>
        </w:pict>
      </w:r>
      <w:r>
        <w:t>-я - среднего общего);</w:t>
      </w:r>
    </w:p>
    <w:p w:rsidR="00000000" w:rsidRDefault="00F140A0">
      <w:bookmarkStart w:id="44" w:name="sub_100132"/>
      <w:bookmarkEnd w:id="43"/>
      <w:r>
        <w:pict>
          <v:shape id="_x0000_i1080" type="#_x0000_t75" style="width:51.75pt;height:15pt">
            <v:imagedata r:id="rId63" o:title=""/>
          </v:shape>
        </w:pict>
      </w:r>
      <w:r>
        <w:t xml:space="preserve"> - формы обучения в в</w:t>
      </w:r>
      <w:r>
        <w:t>ечерних (сменных) общеобразовательных учреждениях (</w:t>
      </w:r>
      <w:r>
        <w:pict>
          <v:shape id="_x0000_i1081" type="#_x0000_t75" style="width:9pt;height:15pt">
            <v:imagedata r:id="rId64" o:title=""/>
          </v:shape>
        </w:pict>
      </w:r>
      <w:r>
        <w:t xml:space="preserve">-я - очная, </w:t>
      </w:r>
      <w:r>
        <w:pict>
          <v:shape id="_x0000_i1082" type="#_x0000_t75" style="width:9pt;height:15pt">
            <v:imagedata r:id="rId65" o:title=""/>
          </v:shape>
        </w:pict>
      </w:r>
      <w:r>
        <w:t xml:space="preserve">-я - заочная, </w:t>
      </w:r>
      <w:r>
        <w:pict>
          <v:shape id="_x0000_i1083" type="#_x0000_t75" style="width:9pt;height:15pt">
            <v:imagedata r:id="rId66" o:title=""/>
          </v:shape>
        </w:pict>
      </w:r>
      <w:r>
        <w:t>-я - по индивидуальному плану);</w:t>
      </w:r>
    </w:p>
    <w:p w:rsidR="00000000" w:rsidRDefault="00F140A0">
      <w:bookmarkStart w:id="45" w:name="sub_100133"/>
      <w:bookmarkEnd w:id="44"/>
      <w:r>
        <w:pict>
          <v:shape id="_x0000_i1084" type="#_x0000_t75" style="width:13.5pt;height:20.25pt">
            <v:imagedata r:id="rId67" o:title=""/>
          </v:shape>
        </w:pict>
      </w:r>
      <w:r>
        <w:t xml:space="preserve"> - нормативы финансового обеспечения образовательной деятельности основных общеобразовательных программ в расчете на одного обучающегося в классах вечерних (сменных) общеобразовательных учреждений, учебно-консультационных пунктов общеобраз</w:t>
      </w:r>
      <w:r>
        <w:t>овательных учреждений;</w:t>
      </w:r>
    </w:p>
    <w:p w:rsidR="00000000" w:rsidRDefault="00F140A0">
      <w:bookmarkStart w:id="46" w:name="sub_100134"/>
      <w:bookmarkEnd w:id="45"/>
      <w:r>
        <w:pict>
          <v:shape id="_x0000_i1085" type="#_x0000_t75" style="width:15pt;height:20.25pt">
            <v:imagedata r:id="rId68" o:title=""/>
          </v:shape>
        </w:pict>
      </w:r>
      <w:r>
        <w:t xml:space="preserve"> - прогнозируемая* на соответствующий финансовый год численность обучающихся в классах вечерних (сменных) общеобразовательных учреждений, учебно-консультационных пунктов общеобр</w:t>
      </w:r>
      <w:r>
        <w:t>азовательных учреждений;</w:t>
      </w:r>
    </w:p>
    <w:p w:rsidR="00000000" w:rsidRDefault="00F140A0">
      <w:bookmarkStart w:id="47" w:name="sub_100135"/>
      <w:bookmarkEnd w:id="46"/>
      <w:r>
        <w:lastRenderedPageBreak/>
        <w:pict>
          <v:shape id="_x0000_i1086" type="#_x0000_t75" style="width:15pt;height:20.25pt">
            <v:imagedata r:id="rId69" o:title=""/>
          </v:shape>
        </w:pict>
      </w:r>
      <w:r>
        <w:t xml:space="preserve"> - нормативы финансового обеспечения образовательной деятельности основных общеобразовательных программ в расчете на один класс в общеобразовательных учреждениях при исправительно-трудовых учреждениях, воспитательно-трудовых и лечебно-профильных профилакто</w:t>
      </w:r>
      <w:r>
        <w:t>риях МВД;</w:t>
      </w:r>
    </w:p>
    <w:bookmarkEnd w:id="47"/>
    <w:p w:rsidR="00000000" w:rsidRDefault="00F140A0">
      <w:r>
        <w:pict>
          <v:shape id="_x0000_i1087" type="#_x0000_t75" style="width:17.25pt;height:20.25pt">
            <v:imagedata r:id="rId70" o:title=""/>
          </v:shape>
        </w:pict>
      </w:r>
      <w:r>
        <w:t xml:space="preserve"> - прогнозируемое* на соответствующий финансовый год среднегодовое количество классов общеобразовательных учреждений при исправительно-трудовых учреждениях, воспитательно-трудовых и лечебно-профильных </w:t>
      </w:r>
      <w:r>
        <w:t>профилакториях МВД;</w:t>
      </w:r>
    </w:p>
    <w:p w:rsidR="00000000" w:rsidRDefault="00F140A0">
      <w:bookmarkStart w:id="48" w:name="sub_1001391"/>
      <w:r>
        <w:pict>
          <v:shape id="_x0000_i1088" type="#_x0000_t75" style="width:15pt;height:16.5pt">
            <v:imagedata r:id="rId71" o:title=""/>
          </v:shape>
        </w:pict>
      </w:r>
      <w:r>
        <w:t xml:space="preserve"> - централизованный фонд стимулирования руководителей (0,5 процента от нормативных затрат в части расходов на оплату труда общеобразовательных учреждений);</w:t>
      </w:r>
    </w:p>
    <w:p w:rsidR="00000000" w:rsidRDefault="00F140A0">
      <w:bookmarkStart w:id="49" w:name="sub_100138"/>
      <w:bookmarkEnd w:id="48"/>
      <w:r>
        <w:pict>
          <v:shape id="_x0000_i1089" type="#_x0000_t75" style="width:12pt;height:16.5pt">
            <v:imagedata r:id="rId72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педагогических работников;</w:t>
      </w:r>
    </w:p>
    <w:p w:rsidR="00000000" w:rsidRDefault="00F140A0">
      <w:bookmarkStart w:id="50" w:name="sub_100139"/>
      <w:bookmarkEnd w:id="49"/>
      <w:r>
        <w:pict>
          <v:shape id="_x0000_i1090" type="#_x0000_t75" style="width:12pt;height:15pt">
            <v:imagedata r:id="rId73" o:title=""/>
          </v:shape>
        </w:pict>
      </w:r>
      <w:r>
        <w:t xml:space="preserve"> - увеличение фонда оплаты труда на размер ежемесячной денежн</w:t>
      </w:r>
      <w:r>
        <w:t>ой компенсации на обеспечение книгоиздательской продукцией и периодическими изданиями, установленной решениями органов местного самоуправления по состоянию на 31 декабря 2012 года, в расчете на год с учетом отчислений по страховым взносам на обязательное п</w:t>
      </w:r>
      <w:r>
        <w:t>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</w:t>
      </w:r>
      <w:r>
        <w:t>аболеваний;</w:t>
      </w:r>
    </w:p>
    <w:p w:rsidR="00000000" w:rsidRDefault="00F140A0">
      <w:bookmarkStart w:id="51" w:name="sub_100140"/>
      <w:bookmarkEnd w:id="50"/>
      <w:r>
        <w:pict>
          <v:shape id="_x0000_i1091" type="#_x0000_t75" style="width:13.5pt;height:16.5pt">
            <v:imagedata r:id="rId74" o:title=""/>
          </v:shape>
        </w:pict>
      </w:r>
      <w:r>
        <w:t xml:space="preserve"> - расходы на доступ к сети "Интернет" общеобразовательных учреждений муниципального образования, определяемые исходя из количества учреждений в муниципальных образованиях и стоимости услуг</w:t>
      </w:r>
      <w:r>
        <w:t xml:space="preserve"> на доступ к сети "Интернет", и за использование лицензионного программного обеспечения, определяемые исходя из количества компьютеров в муниципальных общеобразовательных учреждениях и стоимости услуг за использование программного обеспечения;</w:t>
      </w:r>
    </w:p>
    <w:p w:rsidR="00000000" w:rsidRDefault="00F140A0">
      <w:bookmarkStart w:id="52" w:name="sub_100143"/>
      <w:bookmarkEnd w:id="51"/>
      <w:r>
        <w:pict>
          <v:shape id="_x0000_i1092" type="#_x0000_t75" style="width:18pt;height:20.25pt">
            <v:imagedata r:id="rId75" o:title=""/>
          </v:shape>
        </w:pict>
      </w:r>
      <w:r>
        <w:t xml:space="preserve"> - нормативы расходов на финансовое обеспечение образовательной деятельности в расчете на одного обучающегося из семей беженцев и вынужденных переселенцев, проживающих в центрах временного размещения беженцев и вы</w:t>
      </w:r>
      <w:r>
        <w:t>нужденных переселенцев, общеобразовательных классов общеобразовательных учреждений;</w:t>
      </w:r>
    </w:p>
    <w:p w:rsidR="00000000" w:rsidRDefault="00F140A0">
      <w:bookmarkStart w:id="53" w:name="sub_100144"/>
      <w:bookmarkEnd w:id="52"/>
      <w:r>
        <w:pict>
          <v:shape id="_x0000_i1093" type="#_x0000_t75" style="width:19.5pt;height:20.25pt">
            <v:imagedata r:id="rId76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обучающихся из семей беженц</w:t>
      </w:r>
      <w:r>
        <w:t xml:space="preserve">ев и вынужденных переселенцев, проживающих в центрах временного размещения беженцев и вынужденных переселенцев, общеобразовательных классов (классов-комплектов) общеобразовательных учреждений на территории </w:t>
      </w:r>
      <w:r>
        <w:pict>
          <v:shape id="_x0000_i1094" type="#_x0000_t75" style="width:6pt;height:15pt">
            <v:imagedata r:id="rId77" o:title=""/>
          </v:shape>
        </w:pict>
      </w:r>
      <w:r>
        <w:t>-го муниципальн</w:t>
      </w:r>
      <w:r>
        <w:t>ого образования;</w:t>
      </w:r>
    </w:p>
    <w:p w:rsidR="00000000" w:rsidRDefault="00F140A0">
      <w:bookmarkStart w:id="54" w:name="sub_100145"/>
      <w:bookmarkEnd w:id="53"/>
      <w:r>
        <w:pict>
          <v:shape id="_x0000_i1095" type="#_x0000_t75" style="width:19.5pt;height:16.5pt">
            <v:imagedata r:id="rId78" o:title=""/>
          </v:shape>
        </w:pict>
      </w:r>
      <w:r>
        <w:t xml:space="preserve"> - увеличение фонда оплаты труда на выплату ежемесячного денежного вознаграждения педагогическим работникам за выполнение функций классного руководителя, определяемых из расчета 40 ру</w:t>
      </w:r>
      <w:r>
        <w:t xml:space="preserve">блей </w:t>
      </w:r>
      <w:r>
        <w:lastRenderedPageBreak/>
        <w:t>на одного обучающегося в городской местности и 71,43 рубля - в сельской местности, но не более 1000 рублей в месяц на одного педагогического работника за выполнение функций классного руководителя, с учетом отчислений по страховым взносам на обязательн</w:t>
      </w:r>
      <w:r>
        <w:t>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</w:t>
      </w:r>
      <w:r>
        <w:t>ых заболеваний.</w:t>
      </w:r>
    </w:p>
    <w:p w:rsidR="00000000" w:rsidRDefault="00F140A0">
      <w:bookmarkStart w:id="55" w:name="sub_100146"/>
      <w:bookmarkEnd w:id="54"/>
      <w:r>
        <w:pict>
          <v:shape id="_x0000_i1096" type="#_x0000_t75" style="width:15pt;height:16.5pt">
            <v:imagedata r:id="rId79" o:title=""/>
          </v:shape>
        </w:pict>
      </w:r>
      <w:r>
        <w:t xml:space="preserve"> - расходы на приобретение или изготовление бланков документов об образовании, определяемые исходя из численности обучающихся 9-х, 11-х (12-х) классов муниципальных общеобразовательных </w:t>
      </w:r>
      <w:r>
        <w:t xml:space="preserve">учреждений на территории </w:t>
      </w:r>
      <w:r>
        <w:pict>
          <v:shape id="_x0000_i1097" type="#_x0000_t75" style="width:6pt;height:15pt">
            <v:imagedata r:id="rId80" o:title=""/>
          </v:shape>
        </w:pict>
      </w:r>
      <w:r>
        <w:t>-го муниципального образования (на основании статистической отчетности на 1 сентября текущего года) и стоимости комплекта бланков документов об образовании, определяемой органом исполнительной вл</w:t>
      </w:r>
      <w:r>
        <w:t>асти области, осуществляющим управление в сфере образования, по результатам мониторинга цен на соответствующие товары и услуги;</w:t>
      </w:r>
    </w:p>
    <w:p w:rsidR="00000000" w:rsidRDefault="00F140A0">
      <w:bookmarkStart w:id="56" w:name="sub_100147"/>
      <w:bookmarkEnd w:id="55"/>
      <w:r>
        <w:pict>
          <v:shape id="_x0000_i1098" type="#_x0000_t75" style="width:30.75pt;height:16.5pt">
            <v:imagedata r:id="rId81" o:title=""/>
          </v:shape>
        </w:pict>
      </w:r>
      <w:r>
        <w:t xml:space="preserve"> - увеличение фонда оплаты труда в части оплаты труда педагогических рабо</w:t>
      </w:r>
      <w:r>
        <w:t>тников дошкольных групп муниципальных общеобразовательных учреждений i-го муниципального образования для доведения среднемесячной заработной платы педагогических работников муниципальных дошкольных образовательных организаций области до среднемесячной зара</w:t>
      </w:r>
      <w:r>
        <w:t>ботной платы работников в сфере общего образования области за текущий год в декабре текущего года, определяемое по формуле:</w:t>
      </w:r>
    </w:p>
    <w:bookmarkEnd w:id="56"/>
    <w:p w:rsidR="00000000" w:rsidRDefault="00F140A0"/>
    <w:p w:rsidR="00000000" w:rsidRDefault="00F140A0">
      <w:pPr>
        <w:ind w:firstLine="698"/>
        <w:jc w:val="center"/>
      </w:pPr>
      <w:bookmarkStart w:id="57" w:name="sub_100148"/>
      <w:r>
        <w:pict>
          <v:shape id="_x0000_i1099" type="#_x0000_t75" style="width:76.5pt;height:16.5pt">
            <v:imagedata r:id="rId82" o:title=""/>
          </v:shape>
        </w:pict>
      </w:r>
      <w:r>
        <w:t>, где</w:t>
      </w:r>
    </w:p>
    <w:bookmarkEnd w:id="57"/>
    <w:p w:rsidR="00000000" w:rsidRDefault="00F140A0"/>
    <w:p w:rsidR="00000000" w:rsidRDefault="00F140A0">
      <w:bookmarkStart w:id="58" w:name="sub_100149"/>
      <w:r>
        <w:pict>
          <v:shape id="_x0000_i1100" type="#_x0000_t75" style="width:15pt;height:16.5pt">
            <v:imagedata r:id="rId83" o:title=""/>
          </v:shape>
        </w:pict>
      </w:r>
      <w:r>
        <w:t xml:space="preserve"> - годовой фо</w:t>
      </w:r>
      <w:r>
        <w:t xml:space="preserve">нд оплаты труда в части оплаты труда педагогических работников дошкольных групп муниципальных общеобразовательных учреждений </w:t>
      </w:r>
      <w:r>
        <w:pict>
          <v:shape id="_x0000_i1101" type="#_x0000_t75" style="width:6pt;height:15pt">
            <v:imagedata r:id="rId84" o:title=""/>
          </v:shape>
        </w:pict>
      </w:r>
      <w:r>
        <w:t>-го муниципального образования;</w:t>
      </w:r>
    </w:p>
    <w:p w:rsidR="00000000" w:rsidRDefault="00F140A0">
      <w:bookmarkStart w:id="59" w:name="sub_100150"/>
      <w:bookmarkEnd w:id="58"/>
      <w:r>
        <w:pict>
          <v:shape id="_x0000_i1102" type="#_x0000_t75" style="width:18.75pt;height:16.5pt">
            <v:imagedata r:id="rId85" o:title=""/>
          </v:shape>
        </w:pict>
      </w:r>
      <w:r>
        <w:t xml:space="preserve"> - коэф</w:t>
      </w:r>
      <w:r>
        <w:t>фициент увеличения фонда оплаты труда в части оплаты труда педагогических работников дошкольных групп муниципальных общеобразовательных учреждений области, прогнозируемый органом исполнительной власти области, осуществляющим управление в сфере образования,</w:t>
      </w:r>
      <w:r>
        <w:t xml:space="preserve"> на основании статистической отчетности;</w:t>
      </w:r>
    </w:p>
    <w:p w:rsidR="00000000" w:rsidRDefault="00F140A0">
      <w:bookmarkStart w:id="60" w:name="sub_100151"/>
      <w:bookmarkEnd w:id="59"/>
      <w:r>
        <w:pict>
          <v:shape id="_x0000_i1103" type="#_x0000_t75" style="width:30.75pt;height:16.5pt">
            <v:imagedata r:id="rId86" o:title=""/>
          </v:shape>
        </w:pict>
      </w:r>
      <w:r>
        <w:t xml:space="preserve"> - увеличение фонда оплаты труда педагогических работников муниципальных общеобразовательных учреждений i-го муниципального образования, за исключением фонда о</w:t>
      </w:r>
      <w:r>
        <w:t>платы труда в части оплаты труда педагогических работников дошкольных групп муниципальных общеобразовательных учреждений, для доведения среднемесячной заработной платы педагогических работников муниципальных общеобразовательных учреждений области до средне</w:t>
      </w:r>
      <w:r>
        <w:t>месячной заработной платы работников по экономике области за текущий год в декабре текущего года, определяемое по формуле:</w:t>
      </w:r>
    </w:p>
    <w:bookmarkEnd w:id="60"/>
    <w:p w:rsidR="00000000" w:rsidRDefault="00F140A0"/>
    <w:p w:rsidR="00000000" w:rsidRDefault="00F140A0">
      <w:pPr>
        <w:ind w:firstLine="698"/>
        <w:jc w:val="center"/>
      </w:pPr>
      <w:bookmarkStart w:id="61" w:name="sub_100152"/>
      <w:r>
        <w:lastRenderedPageBreak/>
        <w:pict>
          <v:shape id="_x0000_i1104" type="#_x0000_t75" style="width:86.25pt;height:16.5pt">
            <v:imagedata r:id="rId87" o:title=""/>
          </v:shape>
        </w:pict>
      </w:r>
      <w:r>
        <w:t>, где:</w:t>
      </w:r>
    </w:p>
    <w:bookmarkEnd w:id="61"/>
    <w:p w:rsidR="00000000" w:rsidRDefault="00F140A0"/>
    <w:p w:rsidR="00000000" w:rsidRDefault="00F140A0">
      <w:bookmarkStart w:id="62" w:name="sub_100153"/>
      <w:r>
        <w:pict>
          <v:shape id="_x0000_i1105" type="#_x0000_t75" style="width:24.75pt;height:16.5pt">
            <v:imagedata r:id="rId88" o:title=""/>
          </v:shape>
        </w:pict>
      </w:r>
      <w:r>
        <w:t xml:space="preserve"> - годовой фонд оплаты труда педагогических работников муниципальных общеобразовательных учреждений i-го муниципального образования, за исключением фонда оплаты труда в части оплаты труда педагогических работников дошколь</w:t>
      </w:r>
      <w:r>
        <w:t>ных групп муниципальных общеобразовательных учреждений;</w:t>
      </w:r>
    </w:p>
    <w:p w:rsidR="00000000" w:rsidRDefault="00F140A0">
      <w:bookmarkStart w:id="63" w:name="sub_100154"/>
      <w:bookmarkEnd w:id="62"/>
      <w:r>
        <w:pict>
          <v:shape id="_x0000_i1106" type="#_x0000_t75" style="width:18.75pt;height:16.5pt">
            <v:imagedata r:id="rId89" o:title=""/>
          </v:shape>
        </w:pict>
      </w:r>
      <w:r>
        <w:t xml:space="preserve"> - коэффициент увеличения фонда оплаты труда педагогических работников муниципальных общеобразовательных учреждений, за исключением фонда оплаты </w:t>
      </w:r>
      <w:r>
        <w:t>труда в части оплаты труда педагогических работников дошкольных групп муниципальных общеобразовательных учреждений, прогнозируемый органом исполнительной власти области, осуществляющим управление в сфере образования, на основании статистической отчетности.</w:t>
      </w:r>
    </w:p>
    <w:bookmarkEnd w:id="63"/>
    <w:p w:rsidR="00000000" w:rsidRDefault="00F140A0"/>
    <w:p w:rsidR="00000000" w:rsidRDefault="00F140A0">
      <w:bookmarkStart w:id="64" w:name="sub_1011"/>
      <w:r>
        <w:t>1.1) Объем бюджетных средств i-му муниципальному образованию на финансовое обеспечение предоставления дошкольного образования в общеобразовательных учреждениях определяется по формуле:</w:t>
      </w:r>
    </w:p>
    <w:bookmarkEnd w:id="64"/>
    <w:p w:rsidR="00000000" w:rsidRDefault="00F140A0"/>
    <w:p w:rsidR="00000000" w:rsidRDefault="00F140A0">
      <w:pPr>
        <w:ind w:firstLine="0"/>
        <w:jc w:val="center"/>
      </w:pPr>
      <w:r>
        <w:pict>
          <v:shape id="_x0000_i1107" type="#_x0000_t75" style="width:168pt;height:77.25pt">
            <v:imagedata r:id="rId90" o:title=""/>
          </v:shape>
        </w:pict>
      </w:r>
      <w:r>
        <w:t>, где</w:t>
      </w:r>
    </w:p>
    <w:p w:rsidR="00000000" w:rsidRDefault="00F140A0"/>
    <w:p w:rsidR="00000000" w:rsidRDefault="00F140A0">
      <w:bookmarkStart w:id="65" w:name="sub_10113"/>
      <w:r>
        <w:pict>
          <v:shape id="_x0000_i1108" type="#_x0000_t75" style="width:9.75pt;height:16.5pt">
            <v:imagedata r:id="rId91" o:title=""/>
          </v:shape>
        </w:pict>
      </w:r>
      <w:r>
        <w:t xml:space="preserve"> - объем бюджетных средств </w:t>
      </w:r>
      <w:r>
        <w:pict>
          <v:shape id="_x0000_i1109" type="#_x0000_t75" style="width:6pt;height:15pt">
            <v:imagedata r:id="rId92" o:title=""/>
          </v:shape>
        </w:pict>
      </w:r>
      <w:r>
        <w:t>-му муниципальному образованию на финансовое обеспечение предоставления дошкольного образования в общеобразовательных учреждениях;</w:t>
      </w:r>
    </w:p>
    <w:bookmarkEnd w:id="65"/>
    <w:p w:rsidR="00000000" w:rsidRDefault="00F140A0">
      <w:r>
        <w:pict>
          <v:shape id="_x0000_i1110" type="#_x0000_t75" style="width:79.5pt;height:15pt">
            <v:imagedata r:id="rId93" o:title=""/>
          </v:shape>
        </w:pict>
      </w:r>
      <w:r>
        <w:t xml:space="preserve"> - возрастные группы (</w:t>
      </w:r>
      <w:r>
        <w:pict>
          <v:shape id="_x0000_i1111" type="#_x0000_t75" style="width:9pt;height:15pt">
            <v:imagedata r:id="rId94" o:title=""/>
          </v:shape>
        </w:pict>
      </w:r>
      <w:r>
        <w:t xml:space="preserve"> - группы для детей в возрасте до трех лет, </w:t>
      </w:r>
      <w:r>
        <w:pict>
          <v:shape id="_x0000_i1112" type="#_x0000_t75" style="width:9pt;height:15pt">
            <v:imagedata r:id="rId95" o:title=""/>
          </v:shape>
        </w:pict>
      </w:r>
      <w:r>
        <w:t xml:space="preserve">- группы для детей в возрасте трех и более лет, </w:t>
      </w:r>
      <w:r>
        <w:pict>
          <v:shape id="_x0000_i1113" type="#_x0000_t75" style="width:9pt;height:15pt">
            <v:imagedata r:id="rId96" o:title=""/>
          </v:shape>
        </w:pict>
      </w:r>
      <w:r>
        <w:t xml:space="preserve"> - разновозрастные группы для детей любых двух возрастов (от двух месяцев до трех лет), </w:t>
      </w:r>
      <w:r>
        <w:pict>
          <v:shape id="_x0000_i1114" type="#_x0000_t75" style="width:9pt;height:15pt">
            <v:imagedata r:id="rId97" o:title=""/>
          </v:shape>
        </w:pict>
      </w:r>
      <w:r>
        <w:t xml:space="preserve"> - разновозрастные группы для детей любых двух возрастов (от трех до семи лет), </w:t>
      </w:r>
      <w:r>
        <w:pict>
          <v:shape id="_x0000_i1115" type="#_x0000_t75" style="width:9pt;height:15pt">
            <v:imagedata r:id="rId98" o:title=""/>
          </v:shape>
        </w:pict>
      </w:r>
      <w:r>
        <w:t xml:space="preserve"> - разновозраст</w:t>
      </w:r>
      <w:r>
        <w:t>ные группы для детей любых трех возрастов (от трех до семи лет);</w:t>
      </w:r>
    </w:p>
    <w:p w:rsidR="00000000" w:rsidRDefault="00F140A0">
      <w:r>
        <w:pict>
          <v:shape id="_x0000_i1116" type="#_x0000_t75" style="width:50.25pt;height:15pt">
            <v:imagedata r:id="rId99" o:title=""/>
          </v:shape>
        </w:pict>
      </w:r>
      <w:r>
        <w:t xml:space="preserve"> - категории воспитанников дошкольных групп общеобразовательных учреждений (</w:t>
      </w:r>
      <w:r>
        <w:pict>
          <v:shape id="_x0000_i1117" type="#_x0000_t75" style="width:9pt;height:15pt">
            <v:imagedata r:id="rId100" o:title=""/>
          </v:shape>
        </w:pict>
      </w:r>
      <w:r>
        <w:t xml:space="preserve"> - дети, посещающие общеразвивающие группы,</w:t>
      </w:r>
      <w:r>
        <w:t xml:space="preserve"> </w:t>
      </w:r>
      <w:r>
        <w:pict>
          <v:shape id="_x0000_i1118" type="#_x0000_t75" style="width:9pt;height:15pt">
            <v:imagedata r:id="rId101" o:title=""/>
          </v:shape>
        </w:pict>
      </w:r>
      <w:r>
        <w:t xml:space="preserve"> - дети с ограниченными возможностями здоровья и дети-инвалиды, посещающие комбинированные или компенсирующие групп, </w:t>
      </w:r>
      <w:r>
        <w:pict>
          <v:shape id="_x0000_i1119" type="#_x0000_t75" style="width:9pt;height:15pt">
            <v:imagedata r:id="rId102" o:title=""/>
          </v:shape>
        </w:pict>
      </w:r>
      <w:r>
        <w:t xml:space="preserve"> - дети, посещающие оздоровительные группы (для часто болеющих дете</w:t>
      </w:r>
      <w:r>
        <w:t>й));</w:t>
      </w:r>
    </w:p>
    <w:p w:rsidR="00000000" w:rsidRDefault="00F140A0">
      <w:bookmarkStart w:id="66" w:name="sub_10116"/>
      <w:r>
        <w:pict>
          <v:shape id="_x0000_i1120" type="#_x0000_t75" style="width:21pt;height:20.25pt">
            <v:imagedata r:id="rId103" o:title=""/>
          </v:shape>
        </w:pict>
      </w:r>
      <w:r>
        <w:t xml:space="preserve"> - норматив расходов на финансовое обеспечение предоставления дошкольного образования в общеобразовательных учреждениях в расчете на одного воспитанника дошкольного возраста </w:t>
      </w:r>
      <w:r>
        <w:pict>
          <v:shape id="_x0000_i1121" type="#_x0000_t75" style="width:9pt;height:15pt">
            <v:imagedata r:id="rId104" o:title=""/>
          </v:shape>
        </w:pict>
      </w:r>
      <w:r>
        <w:t>-ой категории;</w:t>
      </w:r>
    </w:p>
    <w:bookmarkEnd w:id="66"/>
    <w:p w:rsidR="00000000" w:rsidRDefault="00F140A0">
      <w:r>
        <w:lastRenderedPageBreak/>
        <w:pict>
          <v:shape id="_x0000_i1122" type="#_x0000_t75" style="width:23.25pt;height:20.25pt">
            <v:imagedata r:id="rId105" o:title=""/>
          </v:shape>
        </w:pict>
      </w:r>
      <w:r>
        <w:t xml:space="preserve"> - прогнозируемая</w:t>
      </w:r>
      <w:hyperlink w:anchor="sub_99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</w:t>
      </w:r>
      <w:r>
        <w:pict>
          <v:shape id="_x0000_i1123" type="#_x0000_t75" style="width:9pt;height:15pt">
            <v:imagedata r:id="rId106" o:title=""/>
          </v:shape>
        </w:pict>
      </w:r>
      <w:r>
        <w:t>-ой категории воспитанников дошкольного возраста в общеобразователь</w:t>
      </w:r>
      <w:r>
        <w:t xml:space="preserve">ных учреждениях </w:t>
      </w:r>
      <w:r>
        <w:pict>
          <v:shape id="_x0000_i1124" type="#_x0000_t75" style="width:6pt;height:15pt">
            <v:imagedata r:id="rId107" o:title=""/>
          </v:shape>
        </w:pict>
      </w:r>
      <w:r>
        <w:t>-го муниципального образования.</w:t>
      </w:r>
    </w:p>
    <w:p w:rsidR="00000000" w:rsidRDefault="00F140A0"/>
    <w:p w:rsidR="00000000" w:rsidRDefault="00F140A0">
      <w:bookmarkStart w:id="67" w:name="sub_1012"/>
      <w:r>
        <w:t>1.2) Норматив расходов на одного воспитанника дошкольного возраста муниципального общеобразовательного учреждения исчисляется по формуле:</w:t>
      </w:r>
    </w:p>
    <w:bookmarkEnd w:id="67"/>
    <w:p w:rsidR="00000000" w:rsidRDefault="00F140A0"/>
    <w:p w:rsidR="00000000" w:rsidRDefault="00F140A0">
      <w:pPr>
        <w:ind w:firstLine="698"/>
        <w:jc w:val="center"/>
      </w:pPr>
      <w:r>
        <w:pict>
          <v:shape id="_x0000_i1125" type="#_x0000_t75" style="width:100.5pt;height:27pt">
            <v:imagedata r:id="rId108" o:title=""/>
          </v:shape>
        </w:pict>
      </w:r>
      <w:r>
        <w:t xml:space="preserve"> , где</w:t>
      </w:r>
    </w:p>
    <w:p w:rsidR="00000000" w:rsidRDefault="00F140A0"/>
    <w:p w:rsidR="00000000" w:rsidRDefault="00F140A0">
      <w:r>
        <w:pict>
          <v:shape id="_x0000_i1126" type="#_x0000_t75" style="width:25.5pt;height:21.75pt">
            <v:imagedata r:id="rId109" o:title=""/>
          </v:shape>
        </w:pict>
      </w:r>
      <w:r>
        <w:t xml:space="preserve">- норматив расходов по заработной плате в расчете на одного воспитанника </w:t>
      </w:r>
      <w:r>
        <w:pict>
          <v:shape id="_x0000_i1127" type="#_x0000_t75" style="width:9pt;height:15pt">
            <v:imagedata r:id="rId110" o:title=""/>
          </v:shape>
        </w:pict>
      </w:r>
      <w:r>
        <w:t>-ой категории w-возрастной группы;</w:t>
      </w:r>
    </w:p>
    <w:p w:rsidR="00000000" w:rsidRDefault="00F140A0">
      <w:r>
        <w:pict>
          <v:shape id="_x0000_i1128" type="#_x0000_t75" style="width:42pt;height:25.5pt">
            <v:imagedata r:id="rId111" o:title=""/>
          </v:shape>
        </w:pict>
      </w:r>
      <w:r>
        <w:t xml:space="preserve"> - расходы на о</w:t>
      </w:r>
      <w:r>
        <w:t>беспечение воспитательно-образовательного процесса, определяемые в равном объеме на каждого воспитанника независимо от категории и возрастной группы в общеобразовательных учреждениях и составляющие 385 рублей.</w:t>
      </w:r>
    </w:p>
    <w:p w:rsidR="00000000" w:rsidRDefault="00F140A0"/>
    <w:p w:rsidR="00000000" w:rsidRDefault="00F140A0">
      <w:bookmarkStart w:id="68" w:name="sub_1013"/>
      <w:r>
        <w:t xml:space="preserve">1.3) Норматив расходов по заработной </w:t>
      </w:r>
      <w:r>
        <w:t xml:space="preserve">плате в расчете на одного воспитанника </w:t>
      </w:r>
      <w:r>
        <w:pict>
          <v:shape id="_x0000_i1129" type="#_x0000_t75" style="width:9pt;height:15pt">
            <v:imagedata r:id="rId112" o:title=""/>
          </v:shape>
        </w:pict>
      </w:r>
      <w:r>
        <w:t xml:space="preserve">-ой категории </w:t>
      </w:r>
      <w:r>
        <w:pict>
          <v:shape id="_x0000_i1130" type="#_x0000_t75" style="width:11.25pt;height:15pt">
            <v:imagedata r:id="rId113" o:title=""/>
          </v:shape>
        </w:pict>
      </w:r>
      <w:r>
        <w:t xml:space="preserve"> - возрастной группы определяется по следующей формуле:</w:t>
      </w:r>
    </w:p>
    <w:bookmarkEnd w:id="68"/>
    <w:p w:rsidR="00000000" w:rsidRDefault="00F140A0"/>
    <w:p w:rsidR="00000000" w:rsidRDefault="00F140A0">
      <w:pPr>
        <w:ind w:firstLine="698"/>
        <w:jc w:val="center"/>
      </w:pPr>
      <w:bookmarkStart w:id="69" w:name="sub_10132"/>
      <w:r>
        <w:pict>
          <v:shape id="_x0000_i1131" type="#_x0000_t75" style="width:303pt;height:41.25pt">
            <v:imagedata r:id="rId114" o:title=""/>
          </v:shape>
        </w:pict>
      </w:r>
      <w:r>
        <w:t>, где</w:t>
      </w:r>
    </w:p>
    <w:bookmarkEnd w:id="69"/>
    <w:p w:rsidR="00000000" w:rsidRDefault="00F140A0"/>
    <w:p w:rsidR="00000000" w:rsidRDefault="00F140A0">
      <w:bookmarkStart w:id="70" w:name="sub_10133"/>
      <w:r>
        <w:pict>
          <v:shape id="_x0000_i1132" type="#_x0000_t75" style="width:19.5pt;height:18pt">
            <v:imagedata r:id="rId115" o:title=""/>
          </v:shape>
        </w:pict>
      </w:r>
      <w:r>
        <w:t xml:space="preserve"> - средний по области оклад воспитателя в месяц в общеобразовательных учреждениях городских и сельских населенных пунктов (на территориях, в которых установлен повышающий коэффициент к заработной плате за работу в пус</w:t>
      </w:r>
      <w:r>
        <w:t>тынной и безводной местности, с учетом указанного коэффициента);</w:t>
      </w:r>
    </w:p>
    <w:bookmarkEnd w:id="70"/>
    <w:p w:rsidR="00000000" w:rsidRDefault="00F140A0">
      <w:r>
        <w:pict>
          <v:shape id="_x0000_i1133" type="#_x0000_t75" style="width:24.75pt;height:18pt">
            <v:imagedata r:id="rId116" o:title=""/>
          </v:shape>
        </w:pict>
      </w:r>
      <w:r>
        <w:t xml:space="preserve"> - коэффициент замены на период очередных отпусков работников дошкольных групп, равный 1,083;</w:t>
      </w:r>
    </w:p>
    <w:p w:rsidR="00000000" w:rsidRDefault="00F140A0">
      <w:r>
        <w:pict>
          <v:shape id="_x0000_i1134" type="#_x0000_t75" style="width:13.5pt;height:16.5pt">
            <v:imagedata r:id="rId117" o:title=""/>
          </v:shape>
        </w:pict>
      </w:r>
      <w:r>
        <w:t xml:space="preserve"> - среднее число часов нахождения воспитанника </w:t>
      </w:r>
      <w:r>
        <w:pict>
          <v:shape id="_x0000_i1135" type="#_x0000_t75" style="width:9pt;height:15pt">
            <v:imagedata r:id="rId118" o:title=""/>
          </v:shape>
        </w:pict>
      </w:r>
      <w:r>
        <w:t>-ой категории в дошкольной группе общеобразовательного учреждения;</w:t>
      </w:r>
    </w:p>
    <w:p w:rsidR="00000000" w:rsidRDefault="00F140A0">
      <w:r>
        <w:pict>
          <v:shape id="_x0000_i1136" type="#_x0000_t75" style="width:13.5pt;height:16.5pt">
            <v:imagedata r:id="rId119" o:title=""/>
          </v:shape>
        </w:pict>
      </w:r>
      <w:r>
        <w:t xml:space="preserve"> - плановое количество дней посещения воспитанником общеобразовательного учреждения в год;</w:t>
      </w:r>
    </w:p>
    <w:p w:rsidR="00000000" w:rsidRDefault="00F140A0">
      <w:r>
        <w:pict>
          <v:shape id="_x0000_i1137" type="#_x0000_t75" style="width:29.25pt;height:18pt">
            <v:imagedata r:id="rId120" o:title=""/>
          </v:shape>
        </w:pict>
      </w:r>
      <w:r>
        <w:t xml:space="preserve"> - коэффициент стимулирующих выплат, равный 1,3;</w:t>
      </w:r>
    </w:p>
    <w:p w:rsidR="00000000" w:rsidRDefault="00F140A0">
      <w:r>
        <w:pict>
          <v:shape id="_x0000_i1138" type="#_x0000_t75" style="width:24.75pt;height:18pt">
            <v:imagedata r:id="rId121" o:title=""/>
          </v:shape>
        </w:pict>
      </w:r>
      <w:r>
        <w:t xml:space="preserve"> - коэффици</w:t>
      </w:r>
      <w:r>
        <w:t>ент увеличения фонда оплаты труда административно-управленческого, учебно-вспомогательного и обслуживающего персонала, равный 2. Доля расходов на фонд оплаты труда административно-управленческого, учебно-вспомогательного и обслуживающего персонала определе</w:t>
      </w:r>
      <w:r>
        <w:t xml:space="preserve">на на уровне 50 процентов от общего фонда </w:t>
      </w:r>
      <w:r>
        <w:lastRenderedPageBreak/>
        <w:t>оплаты труда работников дошкольных групп в общеобразовательных учреждениях, реализующих основную общеобразовательную программу дошкольного образования;</w:t>
      </w:r>
    </w:p>
    <w:p w:rsidR="00000000" w:rsidRDefault="00F140A0">
      <w:r>
        <w:pict>
          <v:shape id="_x0000_i1139" type="#_x0000_t75" style="width:30pt;height:18pt">
            <v:imagedata r:id="rId122" o:title=""/>
          </v:shape>
        </w:pict>
      </w:r>
      <w:r>
        <w:t xml:space="preserve"> - коэффициент, учитывающий</w:t>
      </w:r>
      <w:r>
        <w:t xml:space="preserve"> выплаты компенсационного характера, равный 1,05;</w:t>
      </w:r>
    </w:p>
    <w:p w:rsidR="00000000" w:rsidRDefault="00F140A0">
      <w:r>
        <w:pict>
          <v:shape id="_x0000_i1140" type="#_x0000_t75" style="width:21pt;height:18pt">
            <v:imagedata r:id="rId123" o:title=""/>
          </v:shape>
        </w:pict>
      </w:r>
      <w:r>
        <w:t xml:space="preserve"> - коэффициенты удорожания групп в зависимости от категории воспитанников, приведенные в </w:t>
      </w:r>
      <w:hyperlink w:anchor="sub_771" w:history="1">
        <w:r>
          <w:rPr>
            <w:rStyle w:val="a4"/>
          </w:rPr>
          <w:t>таблице 1</w:t>
        </w:r>
      </w:hyperlink>
      <w:r>
        <w:t>;</w:t>
      </w:r>
    </w:p>
    <w:p w:rsidR="00000000" w:rsidRDefault="00F140A0">
      <w:bookmarkStart w:id="71" w:name="sub_101311"/>
      <w:r>
        <w:pict>
          <v:shape id="_x0000_i1141" type="#_x0000_t75" style="width:15pt;height:16.5pt">
            <v:imagedata r:id="rId124" o:title=""/>
          </v:shape>
        </w:pict>
      </w:r>
      <w:r>
        <w:t xml:space="preserve"> </w:t>
      </w:r>
      <w:r>
        <w:t>- коэффициент отчислений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</w:t>
      </w:r>
      <w:r>
        <w:t>ание от несчастных случаев на производстве и профессиональных заболеваний;</w:t>
      </w:r>
    </w:p>
    <w:bookmarkEnd w:id="71"/>
    <w:p w:rsidR="00000000" w:rsidRDefault="00F140A0">
      <w:r>
        <w:pict>
          <v:shape id="_x0000_i1142" type="#_x0000_t75" style="width:16.5pt;height:16.5pt">
            <v:imagedata r:id="rId125" o:title=""/>
          </v:shape>
        </w:pict>
      </w:r>
      <w:r>
        <w:t xml:space="preserve"> - среднемесячная нагрузка одного воспитателя в соответствии с законодательством при работе с воспитанниками </w:t>
      </w:r>
      <w:r>
        <w:pict>
          <v:shape id="_x0000_i1143" type="#_x0000_t75" style="width:9pt;height:15pt">
            <v:imagedata r:id="rId126" o:title=""/>
          </v:shape>
        </w:pict>
      </w:r>
      <w:r>
        <w:t>-ой категории;</w:t>
      </w:r>
    </w:p>
    <w:p w:rsidR="00000000" w:rsidRDefault="00F140A0">
      <w:r>
        <w:pict>
          <v:shape id="_x0000_i1144" type="#_x0000_t75" style="width:18.75pt;height:16.5pt">
            <v:imagedata r:id="rId127" o:title=""/>
          </v:shape>
        </w:pict>
      </w:r>
      <w:r>
        <w:t xml:space="preserve"> - нормативная наполняемость дошкольной группы для </w:t>
      </w:r>
      <w:r>
        <w:pict>
          <v:shape id="_x0000_i1145" type="#_x0000_t75" style="width:9pt;height:15pt">
            <v:imagedata r:id="rId128" o:title=""/>
          </v:shape>
        </w:pict>
      </w:r>
      <w:r>
        <w:t xml:space="preserve">-ой категории воспитанников в общеобразовательных учреждениях в соответствии с </w:t>
      </w:r>
      <w:hyperlink w:anchor="sub_772" w:history="1">
        <w:r>
          <w:rPr>
            <w:rStyle w:val="a4"/>
          </w:rPr>
          <w:t>таблицей 2</w:t>
        </w:r>
      </w:hyperlink>
      <w:r>
        <w:t>;</w:t>
      </w:r>
    </w:p>
    <w:p w:rsidR="00000000" w:rsidRDefault="00F140A0">
      <w:bookmarkStart w:id="72" w:name="sub_101314"/>
      <w:r>
        <w:pict>
          <v:shape id="_x0000_i1146" type="#_x0000_t75" style="width:15pt;height:16.5pt">
            <v:imagedata r:id="rId129" o:title=""/>
          </v:shape>
        </w:pict>
      </w:r>
      <w:r>
        <w:t xml:space="preserve"> - коэффициент индексации (увеличения) окладов работников дошкольных групп муниципальных общеобразовательных учреждений, соответствующий размеру индексации должностных окладов (окладов) работников государс</w:t>
      </w:r>
      <w:r>
        <w:t>твенных казенных и бюджетных учреждений области, установленному Правительством области;</w:t>
      </w:r>
    </w:p>
    <w:p w:rsidR="00000000" w:rsidRDefault="00F140A0">
      <w:bookmarkStart w:id="73" w:name="sub_101315"/>
      <w:bookmarkEnd w:id="72"/>
      <w:r>
        <w:t xml:space="preserve">абзацы пятнадцатый - двадцатый </w:t>
      </w:r>
      <w:hyperlink r:id="rId130" w:history="1">
        <w:r>
          <w:rPr>
            <w:rStyle w:val="a4"/>
          </w:rPr>
          <w:t>утратили силу</w:t>
        </w:r>
      </w:hyperlink>
    </w:p>
    <w:p w:rsidR="00000000" w:rsidRDefault="00F140A0">
      <w:pPr>
        <w:ind w:firstLine="698"/>
        <w:jc w:val="right"/>
      </w:pPr>
      <w:bookmarkStart w:id="74" w:name="sub_771"/>
      <w:bookmarkEnd w:id="73"/>
      <w:r>
        <w:rPr>
          <w:rStyle w:val="a3"/>
        </w:rPr>
        <w:t>Таблица 1</w:t>
      </w:r>
    </w:p>
    <w:bookmarkEnd w:id="74"/>
    <w:p w:rsidR="00000000" w:rsidRDefault="00F140A0"/>
    <w:p w:rsidR="00000000" w:rsidRDefault="00F140A0">
      <w:pPr>
        <w:pStyle w:val="1"/>
      </w:pPr>
      <w:r>
        <w:t>Коэффициенты удорожания по вид</w:t>
      </w:r>
      <w:r>
        <w:t>ам групп</w:t>
      </w:r>
    </w:p>
    <w:p w:rsidR="00000000" w:rsidRDefault="00F140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3"/>
        <w:gridCol w:w="3173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Виды групп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Коэффициенты удорожания услуги по видам групп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Общеразвивающие, оздоровительные (для часто болеющих детей)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Комбинированные или компенсирующие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</w:t>
            </w:r>
          </w:p>
        </w:tc>
      </w:tr>
    </w:tbl>
    <w:p w:rsidR="00000000" w:rsidRDefault="00F140A0"/>
    <w:p w:rsidR="00000000" w:rsidRDefault="00F140A0">
      <w:pPr>
        <w:ind w:firstLine="698"/>
        <w:jc w:val="right"/>
      </w:pPr>
      <w:bookmarkStart w:id="75" w:name="sub_772"/>
      <w:r>
        <w:rPr>
          <w:rStyle w:val="a3"/>
        </w:rPr>
        <w:t>Таблица</w:t>
      </w:r>
      <w:r>
        <w:t xml:space="preserve"> </w:t>
      </w:r>
      <w:r>
        <w:rPr>
          <w:rStyle w:val="a3"/>
        </w:rPr>
        <w:t>2</w:t>
      </w:r>
    </w:p>
    <w:bookmarkEnd w:id="75"/>
    <w:p w:rsidR="00000000" w:rsidRDefault="00F140A0"/>
    <w:p w:rsidR="00000000" w:rsidRDefault="00F140A0">
      <w:pPr>
        <w:pStyle w:val="1"/>
      </w:pPr>
      <w:r>
        <w:t>Показатели наполняемости групп, используемые для расчета нормативов на одного воспитанника дошкольного возраста в общеобразовательных учреждениях</w:t>
      </w:r>
    </w:p>
    <w:p w:rsidR="00000000" w:rsidRDefault="00F140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073"/>
        <w:gridCol w:w="1870"/>
        <w:gridCol w:w="1706"/>
        <w:gridCol w:w="1698"/>
        <w:gridCol w:w="1400"/>
        <w:gridCol w:w="1251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5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Наполняемость общеразвивающих групп чел.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Наполняемость комбинированных, компенсирующи</w:t>
            </w:r>
            <w:r w:rsidRPr="00F140A0">
              <w:lastRenderedPageBreak/>
              <w:t xml:space="preserve">х, оздоровительных (для </w:t>
            </w:r>
            <w:r w:rsidRPr="00F140A0">
              <w:t>часто болеющих детей) групп, чел.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lastRenderedPageBreak/>
              <w:t>в возрасте до трех лет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в возрасте трех и более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разновозрастные группы для детей любых двух возрастов (от двух месяцев до трех лет)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разновозрастные группы для детей любых двух возрастов (от трех до семи лет)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разновозрастные группы для детей любых трех возрастов (от трех до семи 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в возрасте до трех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в возрасте трех и более лет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15</w:t>
            </w:r>
          </w:p>
        </w:tc>
      </w:tr>
    </w:tbl>
    <w:p w:rsidR="00000000" w:rsidRDefault="00F140A0"/>
    <w:p w:rsidR="00000000" w:rsidRDefault="00F140A0">
      <w:bookmarkStart w:id="76" w:name="sub_1002"/>
      <w:r>
        <w:t>2) Норматив финансового обеспечения образовательной деятельности в расчете на одного обучающегося определяется на основе:</w:t>
      </w:r>
    </w:p>
    <w:bookmarkEnd w:id="76"/>
    <w:p w:rsidR="00000000" w:rsidRDefault="00F140A0">
      <w:r>
        <w:t>стандартной (базовой) стоимости педагогической услуги по количеству обязательных часов базисного учебного плана, утвержденного</w:t>
      </w:r>
      <w:r>
        <w:t xml:space="preserve"> в установленном порядке, с учетом среднего по области оклада педагогического работника, непосредственно осуществляющего учебный процесс в общеобразовательных классах;</w:t>
      </w:r>
    </w:p>
    <w:p w:rsidR="00000000" w:rsidRDefault="00F140A0">
      <w:r>
        <w:t>нормативного соотношения в фонде оплаты труда педагогического, административного, учебно</w:t>
      </w:r>
      <w:r>
        <w:t>-вспомогательного и обслуживающего персонала;</w:t>
      </w:r>
    </w:p>
    <w:p w:rsidR="00000000" w:rsidRDefault="00F140A0">
      <w:r>
        <w:t>коэффициентов удорожания педагогической услуги для ступеней образования и видов классов (программ);</w:t>
      </w:r>
    </w:p>
    <w:p w:rsidR="00000000" w:rsidRDefault="00F140A0">
      <w:r>
        <w:t>расходов на обеспечение учебного процесса (учебники и учебные пособия, технические средства обучения, расходны</w:t>
      </w:r>
      <w:r>
        <w:t>е материалы и хозяйственные нужды).</w:t>
      </w:r>
    </w:p>
    <w:p w:rsidR="00000000" w:rsidRDefault="00F140A0">
      <w:bookmarkStart w:id="77" w:name="sub_1003"/>
      <w:r>
        <w:t>3) Расчет нормативов финансового обеспечения образовательной деятельности производится по трем ступеням образования. Стандартная (базовая) стоимость педагогической услуги в общеобразовательном учреждении рассчиты</w:t>
      </w:r>
      <w:r>
        <w:t>вается на одного обучающегося 1-ой ступени образования исходя из следующих показателей:</w:t>
      </w:r>
    </w:p>
    <w:p w:rsidR="00000000" w:rsidRDefault="00F140A0">
      <w:bookmarkStart w:id="78" w:name="sub_10031"/>
      <w:bookmarkEnd w:id="77"/>
      <w:r>
        <w:t xml:space="preserve">а) количество обучающихся в классе, группе обучающихся, находящихся на длительном лечении в больнице, в соответствии с </w:t>
      </w:r>
      <w:hyperlink w:anchor="sub_773" w:history="1">
        <w:r>
          <w:rPr>
            <w:rStyle w:val="a4"/>
          </w:rPr>
          <w:t>таблицами 3</w:t>
        </w:r>
      </w:hyperlink>
      <w:r>
        <w:t xml:space="preserve">, </w:t>
      </w:r>
      <w:hyperlink w:anchor="sub_774" w:history="1">
        <w:r>
          <w:rPr>
            <w:rStyle w:val="a4"/>
          </w:rPr>
          <w:t>4</w:t>
        </w:r>
      </w:hyperlink>
      <w:r>
        <w:t>.</w:t>
      </w:r>
    </w:p>
    <w:bookmarkEnd w:id="78"/>
    <w:p w:rsidR="00000000" w:rsidRDefault="00F140A0"/>
    <w:p w:rsidR="00000000" w:rsidRDefault="00F140A0">
      <w:pPr>
        <w:ind w:firstLine="698"/>
        <w:jc w:val="right"/>
      </w:pPr>
      <w:bookmarkStart w:id="79" w:name="sub_773"/>
      <w:r>
        <w:rPr>
          <w:rStyle w:val="a3"/>
        </w:rPr>
        <w:t>Таблица 3</w:t>
      </w:r>
    </w:p>
    <w:bookmarkEnd w:id="79"/>
    <w:p w:rsidR="00000000" w:rsidRDefault="00F140A0"/>
    <w:p w:rsidR="00000000" w:rsidRDefault="00F140A0">
      <w:pPr>
        <w:pStyle w:val="1"/>
      </w:pPr>
      <w:r>
        <w:t>Показатели наполняемости, используемые для расчета нормативов в общеобразовательных учреждениях</w:t>
      </w:r>
    </w:p>
    <w:p w:rsidR="00000000" w:rsidRDefault="00F140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10"/>
        <w:gridCol w:w="1179"/>
        <w:gridCol w:w="1314"/>
        <w:gridCol w:w="1335"/>
        <w:gridCol w:w="1329"/>
        <w:gridCol w:w="2010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Тип населенного пункта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Численность обучающихся в муниципальном образова</w:t>
            </w:r>
            <w:r w:rsidRPr="00F140A0">
              <w:lastRenderedPageBreak/>
              <w:t>нии, чел.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lastRenderedPageBreak/>
              <w:t>Наполняемость классов, чел.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 xml:space="preserve">Наполняемость групп обучающихся, находящихся на </w:t>
            </w:r>
            <w:r w:rsidRPr="00F140A0">
              <w:lastRenderedPageBreak/>
              <w:t>длительном лечении в больнице, чел.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общеобразовательные классы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гимназические (лицейские) классы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специальные (коррекционные) 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классы компенсирующего обучения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Город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до 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6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4000-8000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6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более 8000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6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Село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более 3000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6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до 3000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6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ЗАТО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6</w:t>
            </w:r>
          </w:p>
        </w:tc>
      </w:tr>
    </w:tbl>
    <w:p w:rsidR="00000000" w:rsidRDefault="00F140A0"/>
    <w:p w:rsidR="00000000" w:rsidRDefault="00F140A0">
      <w:pPr>
        <w:ind w:firstLine="698"/>
        <w:jc w:val="right"/>
      </w:pPr>
      <w:bookmarkStart w:id="80" w:name="sub_774"/>
      <w:r>
        <w:rPr>
          <w:rStyle w:val="a3"/>
        </w:rPr>
        <w:t>Таблица 4</w:t>
      </w:r>
    </w:p>
    <w:bookmarkEnd w:id="80"/>
    <w:p w:rsidR="00000000" w:rsidRDefault="00F140A0"/>
    <w:p w:rsidR="00000000" w:rsidRDefault="00F140A0">
      <w:pPr>
        <w:pStyle w:val="1"/>
      </w:pPr>
      <w:r>
        <w:t>По</w:t>
      </w:r>
      <w:r>
        <w:t>казатели наполняемости, используемые для расчета нормативов в вечерних (сменных) общеобразовательных учреждениях, учебно-консультационных пунктах общеобразовательных учреждений</w:t>
      </w:r>
    </w:p>
    <w:p w:rsidR="00000000" w:rsidRDefault="00F140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117"/>
        <w:gridCol w:w="2467"/>
        <w:gridCol w:w="3234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Тип населенного пункта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Ступени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Очная форма обучения, чел.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 xml:space="preserve">Заочная </w:t>
            </w:r>
            <w:r w:rsidRPr="00F140A0">
              <w:t>форма обучения, чел.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140A0" w:rsidRDefault="00F140A0">
            <w:pPr>
              <w:pStyle w:val="a7"/>
              <w:jc w:val="center"/>
            </w:pPr>
            <w:r w:rsidRPr="00F140A0"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140A0" w:rsidRDefault="00F140A0">
            <w:pPr>
              <w:pStyle w:val="a7"/>
              <w:jc w:val="center"/>
            </w:pPr>
            <w:r w:rsidRPr="00F140A0"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F140A0" w:rsidRDefault="00F140A0">
            <w:pPr>
              <w:pStyle w:val="a7"/>
              <w:jc w:val="center"/>
            </w:pPr>
            <w:r w:rsidRPr="00F140A0">
              <w:t>4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Город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2-я ступень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12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3-я ступень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15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Село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2-я ступень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9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3-я ступень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11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ЗАТО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2-я ступень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9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3-я ступень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11</w:t>
            </w:r>
          </w:p>
        </w:tc>
      </w:tr>
    </w:tbl>
    <w:p w:rsidR="00000000" w:rsidRDefault="00F140A0"/>
    <w:p w:rsidR="00000000" w:rsidRDefault="00F140A0">
      <w:r>
        <w:t>В вечерних (сменных) общеобразовательных учреждениях, учебно-консультационных пунктах общеобразовательных учреждений независимо от нахождения в городском или сельском населенном пункте при численности обучающихся заочной формы обучения менее девяти обучающ</w:t>
      </w:r>
      <w:r>
        <w:t>ихся число учебных часов в неделю устанавливается в расчете: один академический час на каждого обучающегося;</w:t>
      </w:r>
    </w:p>
    <w:p w:rsidR="00000000" w:rsidRDefault="00F140A0">
      <w:bookmarkStart w:id="81" w:name="sub_10032"/>
      <w:r>
        <w:t>б) число часов по обязательной программе при шестидневной рабочей неделе;</w:t>
      </w:r>
    </w:p>
    <w:p w:rsidR="00000000" w:rsidRDefault="00F140A0">
      <w:bookmarkStart w:id="82" w:name="sub_10033"/>
      <w:bookmarkEnd w:id="81"/>
      <w:r>
        <w:t>в) уровень среднего по области оклада педагоги</w:t>
      </w:r>
      <w:r>
        <w:t>ческого работника, непосредственно осуществляющего учебный процесс.</w:t>
      </w:r>
    </w:p>
    <w:p w:rsidR="00000000" w:rsidRDefault="00F140A0">
      <w:bookmarkStart w:id="83" w:name="sub_1004"/>
      <w:bookmarkEnd w:id="82"/>
      <w:r>
        <w:t>4) Доля расходов на фонд оплаты труда административно-управленческого персонала, иных категорий педагогического персонала, учебно-вспомогательного и обслуживающего персона</w:t>
      </w:r>
      <w:r>
        <w:t>ла определена на уровне 30 процентов от общего фонда оплаты труда в общеобразовательных учреждениях, 25 процентов в вечерних (сменных) общеобразовательных учреждениях, 20 процентов в общеобразовательных учреждениях при исправительно-трудовых учреждениях, в</w:t>
      </w:r>
      <w:r>
        <w:t>оспитательно-трудовых и лечебно-профильных профилакториях МВД.</w:t>
      </w:r>
    </w:p>
    <w:p w:rsidR="00000000" w:rsidRDefault="00F140A0">
      <w:bookmarkStart w:id="84" w:name="sub_1005"/>
      <w:bookmarkEnd w:id="83"/>
      <w:r>
        <w:lastRenderedPageBreak/>
        <w:t>5) Нормативы финансового обеспечения образовательной деятельности в расчете на одного обучающегося, класс для каждого муниципального образования исчисляются по формуле:</w:t>
      </w:r>
    </w:p>
    <w:bookmarkEnd w:id="84"/>
    <w:p w:rsidR="00000000" w:rsidRDefault="00F140A0"/>
    <w:p w:rsidR="00000000" w:rsidRDefault="00F140A0">
      <w:pPr>
        <w:ind w:firstLine="698"/>
        <w:jc w:val="center"/>
      </w:pPr>
      <w:r>
        <w:pict>
          <v:shape id="_x0000_i1147" type="#_x0000_t75" style="width:73.5pt;height:21.75pt">
            <v:imagedata r:id="rId131" o:title=""/>
          </v:shape>
        </w:pict>
      </w:r>
      <w:r>
        <w:t xml:space="preserve"> где</w:t>
      </w:r>
    </w:p>
    <w:p w:rsidR="00000000" w:rsidRDefault="00F140A0"/>
    <w:p w:rsidR="00000000" w:rsidRDefault="00F140A0">
      <w:r>
        <w:pict>
          <v:shape id="_x0000_i1148" type="#_x0000_t75" style="width:16.5pt;height:20.25pt">
            <v:imagedata r:id="rId132" o:title=""/>
          </v:shape>
        </w:pict>
      </w:r>
      <w:r>
        <w:t xml:space="preserve"> - расходы по заработной плате (стандартная (базовая) стоимость педагогической услуги) в муниципальном образовании на реализацию основных общеобразовательных программ в расчете </w:t>
      </w:r>
      <w:r>
        <w:t xml:space="preserve">на одного обучающегося по видам классов </w:t>
      </w:r>
      <w:r>
        <w:pict>
          <v:shape id="_x0000_i1149" type="#_x0000_t75" style="width:16.5pt;height:16.5pt">
            <v:imagedata r:id="rId133" o:title=""/>
          </v:shape>
        </w:pict>
      </w:r>
      <w:r>
        <w:t xml:space="preserve"> и по ступеням образования </w:t>
      </w:r>
      <w:r>
        <w:pict>
          <v:shape id="_x0000_i1150" type="#_x0000_t75" style="width:17.25pt;height:16.5pt">
            <v:imagedata r:id="rId134" o:title=""/>
          </v:shape>
        </w:pict>
      </w:r>
      <w:r>
        <w:t>;</w:t>
      </w:r>
    </w:p>
    <w:p w:rsidR="00000000" w:rsidRDefault="00F140A0">
      <w:bookmarkStart w:id="85" w:name="sub_10054"/>
      <w:r>
        <w:pict>
          <v:shape id="_x0000_i1151" type="#_x0000_t75" style="width:27pt;height:18pt">
            <v:imagedata r:id="rId135" o:title=""/>
          </v:shape>
        </w:pict>
      </w:r>
      <w:r>
        <w:t xml:space="preserve"> - расходы на обеспечение учебного процесса, определяемые в равном объеме на каждого обучающегося по всем ступеням образования и видам классов общеобразовательных учреждений и составляющие для обучающихся 1-й ступени - 51</w:t>
      </w:r>
      <w:r>
        <w:t>0 рублей; для обучающихся 2-й ступени - 730 рублей; для обучающихся 3-й ступени - 700 рублей, в общеобразовательных учреждениях при исправительно-трудовых учреждениях, воспитательно-трудовых и лечебно-профильных профилакториях МВД - 10500 рублей на класс.</w:t>
      </w:r>
    </w:p>
    <w:bookmarkEnd w:id="85"/>
    <w:p w:rsidR="00000000" w:rsidRDefault="00F140A0">
      <w:r>
        <w:t>Стандартная (базовая) стоимость педагогической услуги в общеобразовательном учреждении рассчитывается на одного обучающегося по формуле:</w:t>
      </w:r>
    </w:p>
    <w:p w:rsidR="00000000" w:rsidRDefault="00F140A0"/>
    <w:p w:rsidR="00000000" w:rsidRDefault="00F140A0">
      <w:bookmarkStart w:id="86" w:name="sub_10056"/>
      <w:r>
        <w:pict>
          <v:shape id="_x0000_i1152" type="#_x0000_t75" style="width:247.5pt;height:51pt">
            <v:imagedata r:id="rId136" o:title=""/>
          </v:shape>
        </w:pict>
      </w:r>
      <w:r>
        <w:t>, где</w:t>
      </w:r>
    </w:p>
    <w:bookmarkEnd w:id="86"/>
    <w:p w:rsidR="00000000" w:rsidRDefault="00F140A0"/>
    <w:p w:rsidR="00000000" w:rsidRDefault="00F140A0">
      <w:r>
        <w:pict>
          <v:shape id="_x0000_i1153" type="#_x0000_t75" style="width:8.25pt;height:15pt">
            <v:imagedata r:id="rId137" o:title=""/>
          </v:shape>
        </w:pict>
      </w:r>
      <w:r>
        <w:t xml:space="preserve"> - число часо</w:t>
      </w:r>
      <w:r>
        <w:t>в по базисному учебному плану;</w:t>
      </w:r>
    </w:p>
    <w:p w:rsidR="00000000" w:rsidRDefault="00F140A0">
      <w:bookmarkStart w:id="87" w:name="sub_10058"/>
      <w:r>
        <w:pict>
          <v:shape id="_x0000_i1154" type="#_x0000_t75" style="width:10.5pt;height:15pt">
            <v:imagedata r:id="rId138" o:title=""/>
          </v:shape>
        </w:pict>
      </w:r>
      <w:r>
        <w:t xml:space="preserve"> - количество часов на внеурочную деятельность для реализации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</w:t>
      </w:r>
      <w:r>
        <w:t>его образования;</w:t>
      </w:r>
    </w:p>
    <w:p w:rsidR="00000000" w:rsidRDefault="00F140A0">
      <w:bookmarkStart w:id="88" w:name="sub_10059"/>
      <w:bookmarkEnd w:id="87"/>
      <w:r>
        <w:pict>
          <v:shape id="_x0000_i1155" type="#_x0000_t75" style="width:9pt;height:15pt">
            <v:imagedata r:id="rId139" o:title=""/>
          </v:shape>
        </w:pict>
      </w:r>
      <w:r>
        <w:t xml:space="preserve"> - число часов на ставку (учебная нагрузка педагогического работника, непосредственно осуществляющего учебный процесс, в неделю);</w:t>
      </w:r>
    </w:p>
    <w:bookmarkEnd w:id="88"/>
    <w:p w:rsidR="00000000" w:rsidRDefault="00F140A0">
      <w:r>
        <w:pict>
          <v:shape id="_x0000_i1156" type="#_x0000_t75" style="width:16.5pt;height:18pt">
            <v:imagedata r:id="rId140" o:title=""/>
          </v:shape>
        </w:pict>
      </w:r>
      <w:r>
        <w:t xml:space="preserve"> - средний </w:t>
      </w:r>
      <w:r>
        <w:t>по области оклад педагогического работника, непосредственно осуществляющего учебный процесс в общеобразовательных классах общеобразовательных учреждений городских и сельских населенных пунктов, рассчитанный по формуле:</w:t>
      </w:r>
    </w:p>
    <w:p w:rsidR="00000000" w:rsidRDefault="00F140A0"/>
    <w:p w:rsidR="00000000" w:rsidRDefault="00F140A0">
      <w:pPr>
        <w:ind w:firstLine="698"/>
        <w:jc w:val="center"/>
      </w:pPr>
      <w:r>
        <w:pict>
          <v:shape id="_x0000_i1157" type="#_x0000_t75" style="width:153pt;height:18pt">
            <v:imagedata r:id="rId141" o:title=""/>
          </v:shape>
        </w:pict>
      </w:r>
      <w:r>
        <w:t xml:space="preserve"> </w:t>
      </w:r>
      <w:r>
        <w:t>, где</w:t>
      </w:r>
    </w:p>
    <w:p w:rsidR="00000000" w:rsidRDefault="00F140A0"/>
    <w:p w:rsidR="00000000" w:rsidRDefault="00F140A0">
      <w:bookmarkStart w:id="89" w:name="sub_100512"/>
      <w:r>
        <w:pict>
          <v:shape id="_x0000_i1158" type="#_x0000_t75" style="width:32.25pt;height:18pt">
            <v:imagedata r:id="rId142" o:title=""/>
          </v:shape>
        </w:pict>
      </w:r>
      <w:r>
        <w:t xml:space="preserve"> - средняя расчетная стоимость ученико-часа в городских и сельских населенных пунктах (на территориях, в которых установлен повышающий коэффициент к заработной плате за работу в пустынной и </w:t>
      </w:r>
      <w:r>
        <w:lastRenderedPageBreak/>
        <w:t>безводной мес</w:t>
      </w:r>
      <w:r>
        <w:t>тности, с учетом указанного коэффициента);</w:t>
      </w:r>
    </w:p>
    <w:bookmarkEnd w:id="89"/>
    <w:p w:rsidR="00000000" w:rsidRDefault="00F140A0">
      <w:r>
        <w:pict>
          <v:shape id="_x0000_i1159" type="#_x0000_t75" style="width:11.25pt;height:15pt">
            <v:imagedata r:id="rId143" o:title=""/>
          </v:shape>
        </w:pict>
      </w:r>
      <w:r>
        <w:t xml:space="preserve"> - нормативная наполняемость класса, группы для обучающихся, находящихся на длительном лечении в больнице, в соответствии с </w:t>
      </w:r>
      <w:hyperlink w:anchor="sub_773" w:history="1">
        <w:r>
          <w:rPr>
            <w:rStyle w:val="a4"/>
          </w:rPr>
          <w:t>таблицей 3</w:t>
        </w:r>
      </w:hyperlink>
      <w:r>
        <w:t>;</w:t>
      </w:r>
    </w:p>
    <w:p w:rsidR="00000000" w:rsidRDefault="00F140A0">
      <w:r>
        <w:pict>
          <v:shape id="_x0000_i1160" type="#_x0000_t75" style="width:15pt;height:16.5pt">
            <v:imagedata r:id="rId144" o:title=""/>
          </v:shape>
        </w:pict>
      </w:r>
      <w:r>
        <w:t xml:space="preserve"> - число часов на ставку (учебная нагрузка педагогического работника в месяц);</w:t>
      </w:r>
    </w:p>
    <w:p w:rsidR="00000000" w:rsidRDefault="00F140A0">
      <w:r>
        <w:pict>
          <v:shape id="_x0000_i1161" type="#_x0000_t75" style="width:11.25pt;height:15pt">
            <v:imagedata r:id="rId145" o:title=""/>
          </v:shape>
        </w:pict>
      </w:r>
      <w:r>
        <w:t xml:space="preserve"> - повышающий коэффициент за сложность и приоритетность предмета в зависимости от специфики основной общеобразова</w:t>
      </w:r>
      <w:r>
        <w:t>тельной программы в среднем по области;</w:t>
      </w:r>
    </w:p>
    <w:p w:rsidR="00000000" w:rsidRDefault="00F140A0">
      <w:r>
        <w:pict>
          <v:shape id="_x0000_i1162" type="#_x0000_t75" style="width:11.25pt;height:15pt">
            <v:imagedata r:id="rId146" o:title=""/>
          </v:shape>
        </w:pict>
      </w:r>
      <w:r>
        <w:t xml:space="preserve"> - повышающий коэффициент за квалификационную категорию педагогического работника в среднем по области;</w:t>
      </w:r>
    </w:p>
    <w:p w:rsidR="00000000" w:rsidRDefault="00F140A0">
      <w:r>
        <w:pict>
          <v:shape id="_x0000_i1163" type="#_x0000_t75" style="width:18pt;height:16.5pt">
            <v:imagedata r:id="rId147" o:title=""/>
          </v:shape>
        </w:pict>
      </w:r>
      <w:r>
        <w:t xml:space="preserve"> - коэффициент доплат за неаудиторную зан</w:t>
      </w:r>
      <w:r>
        <w:t>ятость педагогического работника, равный 1,145;</w:t>
      </w:r>
    </w:p>
    <w:p w:rsidR="00000000" w:rsidRDefault="00F140A0">
      <w:bookmarkStart w:id="90" w:name="sub_100517"/>
      <w:r>
        <w:pict>
          <v:shape id="_x0000_i1164" type="#_x0000_t75" style="width:11.25pt;height:16.5pt">
            <v:imagedata r:id="rId148" o:title=""/>
          </v:shape>
        </w:pict>
      </w:r>
      <w:r>
        <w:t xml:space="preserve"> - коэффициент отчислений по страховым взносам на обязательное пенсионное страхование, обязательное социальное страхование на случай временной нетрудоспособности и</w:t>
      </w:r>
      <w:r>
        <w:t xml:space="preserve">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bookmarkEnd w:id="90"/>
    <w:p w:rsidR="00000000" w:rsidRDefault="00F140A0">
      <w:r>
        <w:pict>
          <v:shape id="_x0000_i1165" type="#_x0000_t75" style="width:13.5pt;height:15pt">
            <v:imagedata r:id="rId149" o:title=""/>
          </v:shape>
        </w:pict>
      </w:r>
      <w:r>
        <w:t xml:space="preserve"> - коэффициент выплат специальной части б</w:t>
      </w:r>
      <w:r>
        <w:t>азовой части фонда оплаты труда в общеобразовательных учреждениях, равный 1,25; в общеобразовательных учреждениях при исправительно-трудовых учреждениях, воспитательно-трудовых и лечебно-профильных профилакториях МВД, равный 2,05; в общеобразовательных учр</w:t>
      </w:r>
      <w:r>
        <w:t>еждениях при исправительно-трудовых учреждениях, воспитательно-трудовых и лечебно-профильных профилакториях МВД, имеющих обучающихся, больных активной формой туберкулеза, равный 2,2; в общеобразовательных учреждениях при исправительно-трудовых учреждениях,</w:t>
      </w:r>
      <w:r>
        <w:t xml:space="preserve"> воспитательно-трудовых и лечебно-профильных профилакториях МВД строгого или особого видов режимов, равный 2,15; в общеобразовательных учреждениях при исправительно-трудовых учреждениях, воспитательно-трудовых и лечебно-профильных профилакториях МВД строго</w:t>
      </w:r>
      <w:r>
        <w:t>го или особого видов режимов, имеющих обучающихся, больных активной формой туберкулеза, равный 2,3;</w:t>
      </w:r>
    </w:p>
    <w:p w:rsidR="00000000" w:rsidRDefault="00F140A0">
      <w:r>
        <w:pict>
          <v:shape id="_x0000_i1166" type="#_x0000_t75" style="width:15pt;height:15pt">
            <v:imagedata r:id="rId150" o:title=""/>
          </v:shape>
        </w:pict>
      </w:r>
      <w:r>
        <w:t xml:space="preserve"> - количество месяцев в году;</w:t>
      </w:r>
    </w:p>
    <w:p w:rsidR="00000000" w:rsidRDefault="00F140A0">
      <w:r>
        <w:pict>
          <v:shape id="_x0000_i1167" type="#_x0000_t75" style="width:12pt;height:15pt">
            <v:imagedata r:id="rId151" o:title=""/>
          </v:shape>
        </w:pict>
      </w:r>
      <w:r>
        <w:t xml:space="preserve"> - количество обучающихся в классе. В общеобразовательн</w:t>
      </w:r>
      <w:r>
        <w:t>ых учреждениях при исправительно-трудовых учреждениях, воспитательно-трудовых и лечебно-профильных профилакториях МВД показатель "количество обучающихся в классе" равен 1;</w:t>
      </w:r>
    </w:p>
    <w:p w:rsidR="00000000" w:rsidRDefault="00F140A0">
      <w:r>
        <w:pict>
          <v:shape id="_x0000_i1168" type="#_x0000_t75" style="width:8.25pt;height:15pt">
            <v:imagedata r:id="rId152" o:title=""/>
          </v:shape>
        </w:pict>
      </w:r>
      <w:r>
        <w:t xml:space="preserve"> - коэффициент увеличения фонда оплаты труда адми</w:t>
      </w:r>
      <w:r>
        <w:t>нистративно- управленческого персонала, иных категорий педагогического персонала, учебно-вспомогательного и обслуживающего персонала;</w:t>
      </w:r>
    </w:p>
    <w:p w:rsidR="00000000" w:rsidRDefault="00F140A0">
      <w:r>
        <w:pict>
          <v:shape id="_x0000_i1169" type="#_x0000_t75" style="width:13.5pt;height:15pt">
            <v:imagedata r:id="rId153" o:title=""/>
          </v:shape>
        </w:pict>
      </w:r>
      <w:r>
        <w:t xml:space="preserve"> - коэффициент стимулирующих выплат в общеобразовательных учреждениях, равный 1,3; в об</w:t>
      </w:r>
      <w:r>
        <w:t>щеобразовательных учреждениях при исправительно-трудовых учреждениях, воспитательно-трудовых и лечебно-профильных профилакториях МВД, равный 1,1;</w:t>
      </w:r>
    </w:p>
    <w:p w:rsidR="00000000" w:rsidRDefault="00F140A0">
      <w:r>
        <w:lastRenderedPageBreak/>
        <w:pict>
          <v:shape id="_x0000_i1170" type="#_x0000_t75" style="width:8.25pt;height:15pt">
            <v:imagedata r:id="rId154" o:title=""/>
          </v:shape>
        </w:pict>
      </w:r>
      <w:r>
        <w:t xml:space="preserve"> - коэффициенты удорожания от различных факторов, приведенные в </w:t>
      </w:r>
      <w:hyperlink w:anchor="sub_775" w:history="1">
        <w:r>
          <w:rPr>
            <w:rStyle w:val="a4"/>
          </w:rPr>
          <w:t>таблице 5</w:t>
        </w:r>
      </w:hyperlink>
      <w:r>
        <w:t>;</w:t>
      </w:r>
    </w:p>
    <w:p w:rsidR="00000000" w:rsidRDefault="00F140A0">
      <w:r>
        <w:pict>
          <v:shape id="_x0000_i1171" type="#_x0000_t75" style="width:11.25pt;height:15pt">
            <v:imagedata r:id="rId155" o:title=""/>
          </v:shape>
        </w:pict>
      </w:r>
      <w:r>
        <w:t xml:space="preserve"> - коэффициенты удорожания по видам классов, приведенные в </w:t>
      </w:r>
      <w:hyperlink w:anchor="sub_776" w:history="1">
        <w:r>
          <w:rPr>
            <w:rStyle w:val="a4"/>
          </w:rPr>
          <w:t>таблице 6</w:t>
        </w:r>
      </w:hyperlink>
      <w:r>
        <w:t>;</w:t>
      </w:r>
    </w:p>
    <w:p w:rsidR="00000000" w:rsidRDefault="00F140A0">
      <w:bookmarkStart w:id="91" w:name="sub_100526"/>
      <w:r>
        <w:pict>
          <v:shape id="_x0000_i1172" type="#_x0000_t75" style="width:9pt;height:15pt">
            <v:imagedata r:id="rId156" o:title=""/>
          </v:shape>
        </w:pict>
      </w:r>
      <w:r>
        <w:t xml:space="preserve"> - коэффициент индексации (увеличения) окладов работников муниципальных общеобразовательных учреждений, соответствующий размеру индексации должностных окладов (окладов) работников государственных казенных и бюджетных учреждений области, установленному Прав</w:t>
      </w:r>
      <w:r>
        <w:t>ительством области;</w:t>
      </w:r>
    </w:p>
    <w:p w:rsidR="00000000" w:rsidRDefault="00F140A0">
      <w:bookmarkStart w:id="92" w:name="sub_1005026"/>
      <w:bookmarkEnd w:id="91"/>
      <w:r>
        <w:t xml:space="preserve">абзацы двадцать седьмой - тридцать четвертый </w:t>
      </w:r>
      <w:hyperlink r:id="rId157" w:history="1">
        <w:r>
          <w:rPr>
            <w:rStyle w:val="a4"/>
          </w:rPr>
          <w:t>утратили силу</w:t>
        </w:r>
      </w:hyperlink>
    </w:p>
    <w:p w:rsidR="00000000" w:rsidRDefault="00F140A0">
      <w:bookmarkStart w:id="93" w:name="sub_100535"/>
      <w:bookmarkEnd w:id="92"/>
      <w:r>
        <w:t xml:space="preserve">Абзацы тридцать пятый - тридцать восьмой </w:t>
      </w:r>
      <w:hyperlink r:id="rId158" w:history="1">
        <w:r>
          <w:rPr>
            <w:rStyle w:val="a4"/>
          </w:rPr>
          <w:t>утратили силу</w:t>
        </w:r>
      </w:hyperlink>
    </w:p>
    <w:p w:rsidR="00000000" w:rsidRDefault="00F140A0">
      <w:bookmarkStart w:id="94" w:name="sub_1006"/>
      <w:bookmarkEnd w:id="93"/>
      <w:r>
        <w:t>6) Коэффициенты удорожания педагогической услуги в общеобразовательном учреждении учитывают:</w:t>
      </w:r>
    </w:p>
    <w:bookmarkEnd w:id="94"/>
    <w:p w:rsidR="00000000" w:rsidRDefault="00F140A0">
      <w:r>
        <w:t>обучение по программам дополнительного образования (группы продленного дня и кружковая работа), деление классов на группы при изучении отдельн</w:t>
      </w:r>
      <w:r>
        <w:t xml:space="preserve">ых предметов в соответствии с </w:t>
      </w:r>
      <w:hyperlink w:anchor="sub_775" w:history="1">
        <w:r>
          <w:rPr>
            <w:rStyle w:val="a4"/>
          </w:rPr>
          <w:t>таблицей 5</w:t>
        </w:r>
      </w:hyperlink>
      <w:r>
        <w:t>;</w:t>
      </w:r>
    </w:p>
    <w:p w:rsidR="00000000" w:rsidRDefault="00F140A0">
      <w:bookmarkStart w:id="95" w:name="sub_10063"/>
      <w:r>
        <w:t xml:space="preserve">повышенную стоимость образовательной услуги для обучающихся в общеобразовательных, гимназических (лицейских) классах, специальных (коррекционных) классах и классах компенсирующего </w:t>
      </w:r>
      <w:r>
        <w:t>обучения, находящихся на индивидуальном обучении на дому, находящихся на длительном лечении в больнице, в классах общеобразовательных учреждений, имеющих статус федеральной экспериментальной площадки или статус участника федерального эксперимента в области</w:t>
      </w:r>
      <w:r>
        <w:t xml:space="preserve"> образования, классах кадетских общеобразовательных учреждений, находящихся в центре временного содержания для несовершеннолетних правонарушителей, в соответствии с </w:t>
      </w:r>
      <w:hyperlink w:anchor="sub_776" w:history="1">
        <w:r>
          <w:rPr>
            <w:rStyle w:val="a4"/>
          </w:rPr>
          <w:t>таблицей 6</w:t>
        </w:r>
      </w:hyperlink>
      <w:r>
        <w:t>.</w:t>
      </w:r>
    </w:p>
    <w:bookmarkEnd w:id="95"/>
    <w:p w:rsidR="00000000" w:rsidRDefault="00F140A0"/>
    <w:p w:rsidR="00000000" w:rsidRDefault="00F140A0">
      <w:pPr>
        <w:ind w:firstLine="698"/>
        <w:jc w:val="right"/>
      </w:pPr>
      <w:bookmarkStart w:id="96" w:name="sub_775"/>
      <w:r>
        <w:rPr>
          <w:rStyle w:val="a3"/>
        </w:rPr>
        <w:t>Таблица 5</w:t>
      </w:r>
    </w:p>
    <w:bookmarkEnd w:id="96"/>
    <w:p w:rsidR="00000000" w:rsidRDefault="00F140A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140A0">
      <w:pPr>
        <w:pStyle w:val="1"/>
      </w:pPr>
      <w:r>
        <w:lastRenderedPageBreak/>
        <w:t>Коэффициенты удорожания от различных факторов (по муниципальным общеобразовательным учреждениям городских и сельских населенных пунктов)</w:t>
      </w:r>
    </w:p>
    <w:p w:rsidR="00000000" w:rsidRDefault="00F140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219"/>
        <w:gridCol w:w="1088"/>
        <w:gridCol w:w="1190"/>
        <w:gridCol w:w="1095"/>
        <w:gridCol w:w="1073"/>
        <w:gridCol w:w="1175"/>
        <w:gridCol w:w="1175"/>
        <w:gridCol w:w="1073"/>
        <w:gridCol w:w="1150"/>
        <w:gridCol w:w="1229"/>
        <w:gridCol w:w="1063"/>
        <w:gridCol w:w="1126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Ступени образования</w:t>
            </w:r>
          </w:p>
        </w:tc>
        <w:tc>
          <w:tcPr>
            <w:tcW w:w="10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Коэффициенты удорожания в зависимости от: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Коэффициент общего удорожания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деления классов на груп</w:t>
            </w:r>
            <w:r w:rsidRPr="00F140A0">
              <w:t>пы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наличия групп продленного дня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наличия кружков</w:t>
            </w:r>
          </w:p>
        </w:tc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городские населенные пункты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ЗАТО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сельские населенные пункты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городские населенные пункты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ЗАТО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сельские населенные пункты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городские населенные пункты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ЗАТО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сельские населенные пункты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городские населенные пункты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ЗАТО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сельские населенные пункты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1-я ступень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1,29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2-я ступень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1,04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3-я ступень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1,07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bookmarkStart w:id="97" w:name="sub_7754"/>
            <w:r w:rsidRPr="00F140A0">
              <w:t>Федеральный государственный образовательный стандарт начального общего образования</w:t>
            </w:r>
            <w:bookmarkEnd w:id="97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1,26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bookmarkStart w:id="98" w:name="sub_7755"/>
            <w:r w:rsidRPr="00F140A0">
              <w:t>Федеральный государственный образовательный стандарт основного общего образования</w:t>
            </w:r>
            <w:bookmarkEnd w:id="98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9"/>
            </w:pPr>
            <w:r w:rsidRPr="00F140A0">
              <w:t>1,12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1,02</w:t>
            </w:r>
          </w:p>
        </w:tc>
      </w:tr>
    </w:tbl>
    <w:p w:rsidR="00000000" w:rsidRDefault="00F140A0"/>
    <w:p w:rsidR="00000000" w:rsidRDefault="00F140A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140A0">
      <w:pPr>
        <w:ind w:firstLine="698"/>
        <w:jc w:val="right"/>
      </w:pPr>
      <w:bookmarkStart w:id="99" w:name="sub_776"/>
      <w:r>
        <w:rPr>
          <w:rStyle w:val="a3"/>
        </w:rPr>
        <w:lastRenderedPageBreak/>
        <w:t>Таблица 6</w:t>
      </w:r>
    </w:p>
    <w:bookmarkEnd w:id="99"/>
    <w:p w:rsidR="00000000" w:rsidRDefault="00F140A0"/>
    <w:p w:rsidR="00000000" w:rsidRDefault="00F140A0">
      <w:pPr>
        <w:pStyle w:val="1"/>
      </w:pPr>
      <w:r>
        <w:t>Коэффициенты удорожания по видам классов</w:t>
      </w:r>
    </w:p>
    <w:p w:rsidR="00000000" w:rsidRDefault="00F140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3"/>
        <w:gridCol w:w="2793"/>
      </w:tblGrid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Виды классов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140A0" w:rsidRDefault="00F140A0">
            <w:pPr>
              <w:pStyle w:val="a7"/>
              <w:jc w:val="center"/>
            </w:pPr>
            <w:r w:rsidRPr="00F140A0">
              <w:t>Удорожание услуги за счет повышающих коэффициентов оплаты труда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Общеобразовательные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Гимназические (лицейские)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1,15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Специальные (коррекционные), обучение на дому, в больнице, центре временного содержания для несовершеннолетних правонарушителей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1,20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Компенсирующего обучения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Классы общеобразовательных учреждений, имеющих статус федеральной экспериментальной площадки и</w:t>
            </w:r>
            <w:r w:rsidRPr="00F140A0">
              <w:t>ли статус участника федерального эксперимента в области образования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3,84</w:t>
            </w:r>
          </w:p>
        </w:tc>
      </w:tr>
      <w:tr w:rsidR="00000000" w:rsidRPr="00F140A0">
        <w:tblPrEx>
          <w:tblCellMar>
            <w:top w:w="0" w:type="dxa"/>
            <w:bottom w:w="0" w:type="dxa"/>
          </w:tblCellMar>
        </w:tblPrEx>
        <w:tc>
          <w:tcPr>
            <w:tcW w:w="7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0A0" w:rsidRDefault="00F140A0">
            <w:pPr>
              <w:pStyle w:val="a7"/>
            </w:pPr>
            <w:r w:rsidRPr="00F140A0">
              <w:t>Классы кадетских общеобразовательных учреждений, обучение в больнице инфицированных туберкулезом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140A0" w:rsidRDefault="00F140A0">
            <w:pPr>
              <w:pStyle w:val="a7"/>
              <w:jc w:val="center"/>
            </w:pPr>
            <w:r w:rsidRPr="00F140A0">
              <w:t>1,25</w:t>
            </w:r>
          </w:p>
        </w:tc>
      </w:tr>
    </w:tbl>
    <w:p w:rsidR="00000000" w:rsidRDefault="00F140A0"/>
    <w:p w:rsidR="00000000" w:rsidRDefault="00F140A0">
      <w:pPr>
        <w:ind w:firstLine="0"/>
      </w:pPr>
      <w:r>
        <w:t>_____________________________</w:t>
      </w:r>
    </w:p>
    <w:p w:rsidR="00000000" w:rsidRDefault="00F140A0">
      <w:bookmarkStart w:id="100" w:name="sub_991"/>
      <w:r>
        <w:t xml:space="preserve">* Прогнозирование показателей производится органом исполнительной власти области, осуществляющим управление в сфере образования, по данным органов местного самоуправления, осуществляющих управление в сфере образования, в соответствии с </w:t>
      </w:r>
      <w:hyperlink w:anchor="sub_16" w:history="1">
        <w:r>
          <w:rPr>
            <w:rStyle w:val="a4"/>
          </w:rPr>
          <w:t>частью 6 статьи 1</w:t>
        </w:r>
      </w:hyperlink>
      <w:r>
        <w:t xml:space="preserve"> настоящего Закона.</w:t>
      </w:r>
    </w:p>
    <w:bookmarkEnd w:id="100"/>
    <w:p w:rsidR="00000000" w:rsidRDefault="00F140A0"/>
    <w:p w:rsidR="00F140A0" w:rsidRDefault="00F140A0"/>
    <w:sectPr w:rsidR="00F140A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F8A"/>
    <w:rsid w:val="00667F8A"/>
    <w:rsid w:val="00F1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117F287-4D0D-4CF3-A9AB-655FC1C7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117" Type="http://schemas.openxmlformats.org/officeDocument/2006/relationships/image" Target="media/image110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112" Type="http://schemas.openxmlformats.org/officeDocument/2006/relationships/image" Target="media/image105.emf"/><Relationship Id="rId133" Type="http://schemas.openxmlformats.org/officeDocument/2006/relationships/image" Target="media/image125.emf"/><Relationship Id="rId138" Type="http://schemas.openxmlformats.org/officeDocument/2006/relationships/image" Target="media/image130.emf"/><Relationship Id="rId154" Type="http://schemas.openxmlformats.org/officeDocument/2006/relationships/image" Target="media/image146.emf"/><Relationship Id="rId159" Type="http://schemas.openxmlformats.org/officeDocument/2006/relationships/fontTable" Target="fontTable.xml"/><Relationship Id="rId16" Type="http://schemas.openxmlformats.org/officeDocument/2006/relationships/image" Target="media/image9.emf"/><Relationship Id="rId107" Type="http://schemas.openxmlformats.org/officeDocument/2006/relationships/image" Target="media/image100.emf"/><Relationship Id="rId11" Type="http://schemas.openxmlformats.org/officeDocument/2006/relationships/image" Target="media/image4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102" Type="http://schemas.openxmlformats.org/officeDocument/2006/relationships/image" Target="media/image95.emf"/><Relationship Id="rId123" Type="http://schemas.openxmlformats.org/officeDocument/2006/relationships/image" Target="media/image116.emf"/><Relationship Id="rId128" Type="http://schemas.openxmlformats.org/officeDocument/2006/relationships/image" Target="media/image121.emf"/><Relationship Id="rId144" Type="http://schemas.openxmlformats.org/officeDocument/2006/relationships/image" Target="media/image136.emf"/><Relationship Id="rId149" Type="http://schemas.openxmlformats.org/officeDocument/2006/relationships/image" Target="media/image141.emf"/><Relationship Id="rId5" Type="http://schemas.openxmlformats.org/officeDocument/2006/relationships/hyperlink" Target="garantF1://9498749.0" TargetMode="External"/><Relationship Id="rId90" Type="http://schemas.openxmlformats.org/officeDocument/2006/relationships/image" Target="media/image83.emf"/><Relationship Id="rId95" Type="http://schemas.openxmlformats.org/officeDocument/2006/relationships/image" Target="media/image88.emf"/><Relationship Id="rId160" Type="http://schemas.openxmlformats.org/officeDocument/2006/relationships/theme" Target="theme/theme1.xml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113" Type="http://schemas.openxmlformats.org/officeDocument/2006/relationships/image" Target="media/image106.emf"/><Relationship Id="rId118" Type="http://schemas.openxmlformats.org/officeDocument/2006/relationships/image" Target="media/image111.emf"/><Relationship Id="rId134" Type="http://schemas.openxmlformats.org/officeDocument/2006/relationships/image" Target="media/image126.emf"/><Relationship Id="rId139" Type="http://schemas.openxmlformats.org/officeDocument/2006/relationships/image" Target="media/image131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150" Type="http://schemas.openxmlformats.org/officeDocument/2006/relationships/image" Target="media/image142.emf"/><Relationship Id="rId155" Type="http://schemas.openxmlformats.org/officeDocument/2006/relationships/image" Target="media/image147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6.emf"/><Relationship Id="rId108" Type="http://schemas.openxmlformats.org/officeDocument/2006/relationships/image" Target="media/image101.emf"/><Relationship Id="rId124" Type="http://schemas.openxmlformats.org/officeDocument/2006/relationships/image" Target="media/image117.emf"/><Relationship Id="rId129" Type="http://schemas.openxmlformats.org/officeDocument/2006/relationships/image" Target="media/image122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emf"/><Relationship Id="rId96" Type="http://schemas.openxmlformats.org/officeDocument/2006/relationships/image" Target="media/image89.emf"/><Relationship Id="rId111" Type="http://schemas.openxmlformats.org/officeDocument/2006/relationships/image" Target="media/image104.emf"/><Relationship Id="rId132" Type="http://schemas.openxmlformats.org/officeDocument/2006/relationships/image" Target="media/image124.emf"/><Relationship Id="rId140" Type="http://schemas.openxmlformats.org/officeDocument/2006/relationships/image" Target="media/image132.emf"/><Relationship Id="rId145" Type="http://schemas.openxmlformats.org/officeDocument/2006/relationships/image" Target="media/image137.emf"/><Relationship Id="rId153" Type="http://schemas.openxmlformats.org/officeDocument/2006/relationships/image" Target="media/image145.emf"/><Relationship Id="rId1" Type="http://schemas.openxmlformats.org/officeDocument/2006/relationships/numbering" Target="numbering.xml"/><Relationship Id="rId6" Type="http://schemas.openxmlformats.org/officeDocument/2006/relationships/hyperlink" Target="garantF1://9465624.1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6" Type="http://schemas.openxmlformats.org/officeDocument/2006/relationships/image" Target="media/image99.emf"/><Relationship Id="rId114" Type="http://schemas.openxmlformats.org/officeDocument/2006/relationships/image" Target="media/image107.emf"/><Relationship Id="rId119" Type="http://schemas.openxmlformats.org/officeDocument/2006/relationships/image" Target="media/image112.emf"/><Relationship Id="rId127" Type="http://schemas.openxmlformats.org/officeDocument/2006/relationships/image" Target="media/image12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122" Type="http://schemas.openxmlformats.org/officeDocument/2006/relationships/image" Target="media/image115.emf"/><Relationship Id="rId130" Type="http://schemas.openxmlformats.org/officeDocument/2006/relationships/hyperlink" Target="garantF1://9590704.1012" TargetMode="External"/><Relationship Id="rId135" Type="http://schemas.openxmlformats.org/officeDocument/2006/relationships/image" Target="media/image127.emf"/><Relationship Id="rId143" Type="http://schemas.openxmlformats.org/officeDocument/2006/relationships/image" Target="media/image135.emf"/><Relationship Id="rId148" Type="http://schemas.openxmlformats.org/officeDocument/2006/relationships/image" Target="media/image140.emf"/><Relationship Id="rId151" Type="http://schemas.openxmlformats.org/officeDocument/2006/relationships/image" Target="media/image143.emf"/><Relationship Id="rId156" Type="http://schemas.openxmlformats.org/officeDocument/2006/relationships/image" Target="media/image14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109" Type="http://schemas.openxmlformats.org/officeDocument/2006/relationships/image" Target="media/image10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04" Type="http://schemas.openxmlformats.org/officeDocument/2006/relationships/image" Target="media/image97.emf"/><Relationship Id="rId120" Type="http://schemas.openxmlformats.org/officeDocument/2006/relationships/image" Target="media/image113.emf"/><Relationship Id="rId125" Type="http://schemas.openxmlformats.org/officeDocument/2006/relationships/image" Target="media/image118.emf"/><Relationship Id="rId141" Type="http://schemas.openxmlformats.org/officeDocument/2006/relationships/image" Target="media/image133.emf"/><Relationship Id="rId146" Type="http://schemas.openxmlformats.org/officeDocument/2006/relationships/image" Target="media/image138.emf"/><Relationship Id="rId7" Type="http://schemas.openxmlformats.org/officeDocument/2006/relationships/hyperlink" Target="garantF1://9483374.0" TargetMode="Externa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styles" Target="styles.xml"/><Relationship Id="rId29" Type="http://schemas.openxmlformats.org/officeDocument/2006/relationships/image" Target="media/image22.emf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110" Type="http://schemas.openxmlformats.org/officeDocument/2006/relationships/image" Target="media/image103.emf"/><Relationship Id="rId115" Type="http://schemas.openxmlformats.org/officeDocument/2006/relationships/image" Target="media/image108.emf"/><Relationship Id="rId131" Type="http://schemas.openxmlformats.org/officeDocument/2006/relationships/image" Target="media/image123.emf"/><Relationship Id="rId136" Type="http://schemas.openxmlformats.org/officeDocument/2006/relationships/image" Target="media/image128.emf"/><Relationship Id="rId157" Type="http://schemas.openxmlformats.org/officeDocument/2006/relationships/hyperlink" Target="garantF1://9590704.1022" TargetMode="Externa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52" Type="http://schemas.openxmlformats.org/officeDocument/2006/relationships/image" Target="media/image14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image" Target="media/image98.emf"/><Relationship Id="rId126" Type="http://schemas.openxmlformats.org/officeDocument/2006/relationships/image" Target="media/image119.emf"/><Relationship Id="rId147" Type="http://schemas.openxmlformats.org/officeDocument/2006/relationships/image" Target="media/image139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121" Type="http://schemas.openxmlformats.org/officeDocument/2006/relationships/image" Target="media/image114.emf"/><Relationship Id="rId142" Type="http://schemas.openxmlformats.org/officeDocument/2006/relationships/image" Target="media/image134.emf"/><Relationship Id="rId3" Type="http://schemas.openxmlformats.org/officeDocument/2006/relationships/settings" Target="settings.xml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60.emf"/><Relationship Id="rId116" Type="http://schemas.openxmlformats.org/officeDocument/2006/relationships/image" Target="media/image109.emf"/><Relationship Id="rId137" Type="http://schemas.openxmlformats.org/officeDocument/2006/relationships/image" Target="media/image129.emf"/><Relationship Id="rId158" Type="http://schemas.openxmlformats.org/officeDocument/2006/relationships/hyperlink" Target="garantF1://9423523.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2018-05-10T10:57:00Z</dcterms:created>
  <dcterms:modified xsi:type="dcterms:W3CDTF">2018-05-10T10:57:00Z</dcterms:modified>
</cp:coreProperties>
</file>